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val="0"/>
        <w:overflowPunct/>
        <w:topLinePunct w:val="0"/>
        <w:bidi w:val="0"/>
        <w:spacing w:before="0" w:line="364" w:lineRule="auto"/>
        <w:ind w:right="62" w:rightChars="0"/>
        <w:jc w:val="both"/>
        <w:rPr>
          <w:rFonts w:hint="eastAsia" w:asciiTheme="minorEastAsia" w:hAnsiTheme="minorEastAsia" w:eastAsiaTheme="minorEastAsia" w:cstheme="minorEastAsia"/>
          <w:b/>
          <w:color w:val="auto"/>
          <w:spacing w:val="-4"/>
          <w:sz w:val="36"/>
          <w:szCs w:val="36"/>
          <w:highlight w:val="none"/>
          <w:u w:val="none"/>
          <w:lang w:val="en-US" w:eastAsia="zh-CN"/>
        </w:rPr>
      </w:pPr>
    </w:p>
    <w:p>
      <w:pPr>
        <w:pStyle w:val="22"/>
        <w:keepNext w:val="0"/>
        <w:keepLines w:val="0"/>
        <w:pageBreakBefore w:val="0"/>
        <w:widowControl w:val="0"/>
        <w:kinsoku/>
        <w:wordWrap w:val="0"/>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52"/>
          <w:szCs w:val="52"/>
          <w:highlight w:val="none"/>
          <w:lang w:val="en-US" w:eastAsia="zh-CN"/>
        </w:rPr>
      </w:pPr>
      <w:r>
        <w:rPr>
          <w:rFonts w:hint="eastAsia"/>
          <w:b/>
          <w:bCs/>
          <w:color w:val="auto"/>
          <w:sz w:val="44"/>
          <w:szCs w:val="44"/>
          <w:highlight w:val="none"/>
          <w:lang w:val="en-US" w:eastAsia="zh-CN"/>
        </w:rPr>
        <w:t>郑州中学大数据智能教学终端设备采购项目</w:t>
      </w:r>
    </w:p>
    <w:p>
      <w:pPr>
        <w:pStyle w:val="22"/>
        <w:pageBreakBefore w:val="0"/>
        <w:kinsoku/>
        <w:wordWrap w:val="0"/>
        <w:overflowPunct/>
        <w:topLinePunct w:val="0"/>
        <w:bidi w:val="0"/>
        <w:jc w:val="center"/>
        <w:rPr>
          <w:rFonts w:hint="eastAsia"/>
          <w:b/>
          <w:bCs/>
          <w:color w:val="auto"/>
          <w:sz w:val="84"/>
          <w:szCs w:val="84"/>
          <w:highlight w:val="none"/>
          <w:lang w:val="en-US" w:eastAsia="zh-CN"/>
        </w:rPr>
      </w:pPr>
      <w:r>
        <w:rPr>
          <w:rFonts w:hint="eastAsia"/>
          <w:b/>
          <w:bCs/>
          <w:color w:val="auto"/>
          <w:sz w:val="84"/>
          <w:szCs w:val="84"/>
          <w:highlight w:val="none"/>
          <w:lang w:val="en-US" w:eastAsia="zh-CN"/>
        </w:rPr>
        <w:t>竞争性磋商文件</w:t>
      </w:r>
    </w:p>
    <w:p>
      <w:pPr>
        <w:pStyle w:val="22"/>
        <w:pageBreakBefore w:val="0"/>
        <w:kinsoku/>
        <w:wordWrap w:val="0"/>
        <w:overflowPunct/>
        <w:topLinePunct w:val="0"/>
        <w:bidi w:val="0"/>
        <w:jc w:val="center"/>
        <w:rPr>
          <w:rFonts w:hint="eastAsia"/>
          <w:color w:val="auto"/>
          <w:highlight w:val="none"/>
        </w:rPr>
      </w:pPr>
      <w:r>
        <w:rPr>
          <w:rFonts w:hint="eastAsia"/>
          <w:color w:val="auto"/>
          <w:highlight w:val="none"/>
        </w:rPr>
        <w:t>采购编号：高新竞争性磋商采购[2023]24号</w:t>
      </w:r>
    </w:p>
    <w:p>
      <w:pPr>
        <w:pStyle w:val="22"/>
        <w:pageBreakBefore w:val="0"/>
        <w:kinsoku/>
        <w:wordWrap w:val="0"/>
        <w:overflowPunct/>
        <w:topLinePunct w:val="0"/>
        <w:bidi w:val="0"/>
        <w:jc w:val="center"/>
        <w:rPr>
          <w:rFonts w:hint="eastAsia"/>
          <w:color w:val="auto"/>
          <w:highlight w:val="none"/>
        </w:rPr>
      </w:pPr>
    </w:p>
    <w:p>
      <w:pPr>
        <w:pStyle w:val="22"/>
        <w:pageBreakBefore w:val="0"/>
        <w:kinsoku/>
        <w:wordWrap w:val="0"/>
        <w:overflowPunct/>
        <w:topLinePunct w:val="0"/>
        <w:bidi w:val="0"/>
        <w:jc w:val="center"/>
        <w:rPr>
          <w:rFonts w:hint="eastAsia"/>
          <w:color w:val="auto"/>
          <w:highlight w:val="none"/>
        </w:rPr>
      </w:pPr>
      <w:r>
        <w:rPr>
          <w:color w:val="auto"/>
          <w:highlight w:val="none"/>
        </w:rPr>
        <w:drawing>
          <wp:anchor distT="0" distB="0" distL="114300" distR="114300" simplePos="0" relativeHeight="251660288" behindDoc="0" locked="0" layoutInCell="1" allowOverlap="1">
            <wp:simplePos x="0" y="0"/>
            <wp:positionH relativeFrom="column">
              <wp:posOffset>1610360</wp:posOffset>
            </wp:positionH>
            <wp:positionV relativeFrom="paragraph">
              <wp:posOffset>18415</wp:posOffset>
            </wp:positionV>
            <wp:extent cx="2256790" cy="2081530"/>
            <wp:effectExtent l="0" t="0" r="13970" b="6350"/>
            <wp:wrapNone/>
            <wp:docPr id="4" name="图片 2" descr="79fc656fcc502cf8fba37e1511f55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79fc656fcc502cf8fba37e1511f55bf"/>
                    <pic:cNvPicPr>
                      <a:picLocks noChangeAspect="1"/>
                    </pic:cNvPicPr>
                  </pic:nvPicPr>
                  <pic:blipFill>
                    <a:blip r:embed="rId9"/>
                    <a:stretch>
                      <a:fillRect/>
                    </a:stretch>
                  </pic:blipFill>
                  <pic:spPr>
                    <a:xfrm>
                      <a:off x="0" y="0"/>
                      <a:ext cx="2256790" cy="2081530"/>
                    </a:xfrm>
                    <a:prstGeom prst="rect">
                      <a:avLst/>
                    </a:prstGeom>
                    <a:noFill/>
                    <a:ln>
                      <a:noFill/>
                    </a:ln>
                  </pic:spPr>
                </pic:pic>
              </a:graphicData>
            </a:graphic>
          </wp:anchor>
        </w:drawing>
      </w:r>
    </w:p>
    <w:p>
      <w:pPr>
        <w:pStyle w:val="22"/>
        <w:pageBreakBefore w:val="0"/>
        <w:kinsoku/>
        <w:wordWrap w:val="0"/>
        <w:overflowPunct/>
        <w:topLinePunct w:val="0"/>
        <w:bidi w:val="0"/>
        <w:rPr>
          <w:color w:val="auto"/>
          <w:highlight w:val="none"/>
        </w:rPr>
      </w:pPr>
    </w:p>
    <w:p>
      <w:pPr>
        <w:pStyle w:val="22"/>
        <w:pageBreakBefore w:val="0"/>
        <w:kinsoku/>
        <w:wordWrap w:val="0"/>
        <w:overflowPunct/>
        <w:topLinePunct w:val="0"/>
        <w:bidi w:val="0"/>
        <w:rPr>
          <w:color w:val="auto"/>
          <w:highlight w:val="none"/>
        </w:rPr>
      </w:pPr>
    </w:p>
    <w:p>
      <w:pPr>
        <w:pStyle w:val="22"/>
        <w:pageBreakBefore w:val="0"/>
        <w:kinsoku/>
        <w:wordWrap w:val="0"/>
        <w:overflowPunct/>
        <w:topLinePunct w:val="0"/>
        <w:bidi w:val="0"/>
        <w:rPr>
          <w:rFonts w:hint="eastAsia"/>
          <w:color w:val="auto"/>
          <w:highlight w:val="none"/>
          <w:lang w:val="en-US" w:eastAsia="zh-CN"/>
        </w:rPr>
      </w:pPr>
    </w:p>
    <w:p>
      <w:pPr>
        <w:pStyle w:val="22"/>
        <w:pageBreakBefore w:val="0"/>
        <w:kinsoku/>
        <w:wordWrap w:val="0"/>
        <w:overflowPunct/>
        <w:topLinePunct w:val="0"/>
        <w:bidi w:val="0"/>
        <w:rPr>
          <w:rFonts w:hint="eastAsia"/>
          <w:color w:val="auto"/>
          <w:highlight w:val="none"/>
          <w:lang w:val="en-US" w:eastAsia="zh-CN"/>
        </w:rPr>
      </w:pPr>
    </w:p>
    <w:p>
      <w:pPr>
        <w:pStyle w:val="22"/>
        <w:pageBreakBefore w:val="0"/>
        <w:kinsoku/>
        <w:wordWrap w:val="0"/>
        <w:overflowPunct/>
        <w:topLinePunct w:val="0"/>
        <w:bidi w:val="0"/>
        <w:rPr>
          <w:rFonts w:hint="eastAsia"/>
          <w:color w:val="auto"/>
          <w:highlight w:val="none"/>
          <w:lang w:val="en-US" w:eastAsia="zh-CN"/>
        </w:rPr>
      </w:pPr>
    </w:p>
    <w:p>
      <w:pPr>
        <w:pStyle w:val="22"/>
        <w:pageBreakBefore w:val="0"/>
        <w:kinsoku/>
        <w:wordWrap w:val="0"/>
        <w:overflowPunct/>
        <w:topLinePunct w:val="0"/>
        <w:bidi w:val="0"/>
        <w:rPr>
          <w:rFonts w:hint="eastAsia"/>
          <w:color w:val="auto"/>
          <w:highlight w:val="none"/>
          <w:lang w:val="en-US" w:eastAsia="zh-CN"/>
        </w:rPr>
      </w:pPr>
    </w:p>
    <w:p>
      <w:pPr>
        <w:pStyle w:val="22"/>
        <w:pageBreakBefore w:val="0"/>
        <w:kinsoku/>
        <w:wordWrap w:val="0"/>
        <w:overflowPunct/>
        <w:topLinePunct w:val="0"/>
        <w:bidi w:val="0"/>
        <w:rPr>
          <w:rFonts w:hint="eastAsia"/>
          <w:color w:val="auto"/>
          <w:highlight w:val="none"/>
          <w:lang w:val="en-US" w:eastAsia="zh-CN"/>
        </w:rPr>
      </w:pPr>
    </w:p>
    <w:p>
      <w:pPr>
        <w:pStyle w:val="24"/>
        <w:pageBreakBefore w:val="0"/>
        <w:kinsoku/>
        <w:wordWrap w:val="0"/>
        <w:overflowPunct/>
        <w:topLinePunct w:val="0"/>
        <w:bidi w:val="0"/>
        <w:ind w:firstLine="843" w:firstLineChars="300"/>
        <w:rPr>
          <w:rFonts w:hint="default" w:ascii="宋体" w:hAnsi="宋体" w:eastAsia="宋体" w:cs="宋体"/>
          <w:b/>
          <w:bCs/>
          <w:color w:val="auto"/>
          <w:sz w:val="28"/>
          <w:szCs w:val="28"/>
          <w:highlight w:val="none"/>
          <w:lang w:val="en-US" w:eastAsia="zh-CN"/>
        </w:rPr>
      </w:pPr>
    </w:p>
    <w:p>
      <w:pPr>
        <w:pStyle w:val="24"/>
        <w:pageBreakBefore w:val="0"/>
        <w:kinsoku/>
        <w:wordWrap w:val="0"/>
        <w:overflowPunct/>
        <w:topLinePunct w:val="0"/>
        <w:bidi w:val="0"/>
        <w:ind w:firstLine="1968" w:firstLineChars="700"/>
        <w:rPr>
          <w:rFonts w:hint="default" w:ascii="宋体" w:hAnsi="宋体" w:eastAsia="宋体" w:cs="宋体"/>
          <w:b/>
          <w:bCs/>
          <w:color w:val="auto"/>
          <w:sz w:val="28"/>
          <w:szCs w:val="28"/>
          <w:highlight w:val="none"/>
          <w:u w:val="single"/>
          <w:lang w:val="en-US" w:eastAsia="zh-CN"/>
        </w:rPr>
      </w:pPr>
      <w:r>
        <w:rPr>
          <w:rFonts w:hint="default" w:ascii="宋体" w:hAnsi="宋体" w:eastAsia="宋体" w:cs="宋体"/>
          <w:b/>
          <w:bCs/>
          <w:color w:val="auto"/>
          <w:sz w:val="28"/>
          <w:szCs w:val="28"/>
          <w:highlight w:val="none"/>
          <w:lang w:val="en-US" w:eastAsia="zh-CN"/>
        </w:rPr>
        <w:t>项目编号：</w:t>
      </w:r>
      <w:r>
        <w:rPr>
          <w:rFonts w:hint="eastAsia" w:ascii="宋体" w:hAnsi="宋体" w:eastAsia="宋体" w:cs="宋体"/>
          <w:b/>
          <w:bCs/>
          <w:color w:val="auto"/>
          <w:sz w:val="28"/>
          <w:szCs w:val="28"/>
          <w:highlight w:val="none"/>
          <w:u w:val="single"/>
          <w:lang w:val="en-US" w:eastAsia="zh-CN"/>
        </w:rPr>
        <w:t xml:space="preserve"> </w:t>
      </w:r>
      <w:r>
        <w:rPr>
          <w:rFonts w:hint="eastAsia" w:cs="宋体"/>
          <w:b/>
          <w:bCs/>
          <w:color w:val="auto"/>
          <w:sz w:val="28"/>
          <w:szCs w:val="28"/>
          <w:highlight w:val="none"/>
          <w:u w:val="single"/>
          <w:lang w:val="en-US" w:eastAsia="zh-CN"/>
        </w:rPr>
        <w:t xml:space="preserve">HC-2023-0041 </w:t>
      </w:r>
    </w:p>
    <w:p>
      <w:pPr>
        <w:pStyle w:val="24"/>
        <w:pageBreakBefore w:val="0"/>
        <w:kinsoku/>
        <w:wordWrap w:val="0"/>
        <w:overflowPunct/>
        <w:topLinePunct w:val="0"/>
        <w:bidi w:val="0"/>
        <w:ind w:firstLine="1968" w:firstLineChars="700"/>
        <w:rPr>
          <w:rFonts w:hint="default" w:eastAsia="宋体"/>
          <w:b/>
          <w:bCs/>
          <w:color w:val="auto"/>
          <w:sz w:val="28"/>
          <w:szCs w:val="28"/>
          <w:highlight w:val="none"/>
          <w:lang w:val="en-US" w:eastAsia="zh-CN"/>
        </w:rPr>
      </w:pPr>
      <w:r>
        <w:rPr>
          <w:rFonts w:hint="eastAsia"/>
          <w:b/>
          <w:bCs/>
          <w:color w:val="auto"/>
          <w:sz w:val="28"/>
          <w:szCs w:val="28"/>
          <w:highlight w:val="none"/>
        </w:rPr>
        <w:t>采 购 人：</w:t>
      </w:r>
      <w:r>
        <w:rPr>
          <w:rFonts w:hint="eastAsia"/>
          <w:b/>
          <w:bCs/>
          <w:color w:val="auto"/>
          <w:sz w:val="28"/>
          <w:szCs w:val="28"/>
          <w:highlight w:val="none"/>
          <w:u w:val="single"/>
          <w:lang w:val="en-US" w:eastAsia="zh-CN"/>
        </w:rPr>
        <w:t xml:space="preserve"> </w:t>
      </w:r>
      <w:r>
        <w:rPr>
          <w:rFonts w:hint="eastAsia"/>
          <w:b/>
          <w:bCs/>
          <w:color w:val="auto"/>
          <w:sz w:val="28"/>
          <w:szCs w:val="28"/>
          <w:highlight w:val="none"/>
          <w:u w:val="single"/>
          <w:lang w:eastAsia="zh-CN"/>
        </w:rPr>
        <w:t>郑州中学</w:t>
      </w:r>
      <w:r>
        <w:rPr>
          <w:rFonts w:hint="eastAsia"/>
          <w:b/>
          <w:bCs/>
          <w:color w:val="auto"/>
          <w:sz w:val="28"/>
          <w:szCs w:val="28"/>
          <w:highlight w:val="none"/>
          <w:u w:val="single"/>
          <w:lang w:val="en-US" w:eastAsia="zh-CN"/>
        </w:rPr>
        <w:t xml:space="preserve">  </w:t>
      </w:r>
    </w:p>
    <w:p>
      <w:pPr>
        <w:pStyle w:val="24"/>
        <w:pageBreakBefore w:val="0"/>
        <w:kinsoku/>
        <w:wordWrap w:val="0"/>
        <w:overflowPunct/>
        <w:topLinePunct w:val="0"/>
        <w:bidi w:val="0"/>
        <w:ind w:firstLine="1968" w:firstLineChars="700"/>
        <w:rPr>
          <w:rFonts w:hint="eastAsia"/>
          <w:b/>
          <w:bCs/>
          <w:color w:val="auto"/>
          <w:sz w:val="28"/>
          <w:szCs w:val="28"/>
          <w:highlight w:val="none"/>
        </w:rPr>
      </w:pPr>
      <w:r>
        <w:rPr>
          <w:rFonts w:hint="eastAsia"/>
          <w:b/>
          <w:bCs/>
          <w:color w:val="auto"/>
          <w:sz w:val="28"/>
          <w:szCs w:val="28"/>
          <w:highlight w:val="none"/>
        </w:rPr>
        <w:t>代理机构：</w:t>
      </w:r>
      <w:r>
        <w:rPr>
          <w:rFonts w:hint="eastAsia"/>
          <w:b/>
          <w:bCs/>
          <w:color w:val="auto"/>
          <w:sz w:val="28"/>
          <w:szCs w:val="28"/>
          <w:highlight w:val="none"/>
          <w:u w:val="single"/>
        </w:rPr>
        <w:t xml:space="preserve"> </w:t>
      </w:r>
      <w:r>
        <w:rPr>
          <w:rFonts w:hint="eastAsia"/>
          <w:b/>
          <w:bCs/>
          <w:color w:val="auto"/>
          <w:sz w:val="28"/>
          <w:szCs w:val="28"/>
          <w:highlight w:val="none"/>
          <w:u w:val="single"/>
          <w:lang w:eastAsia="zh-CN"/>
        </w:rPr>
        <w:t>河南弘程工程咨询有限公司</w:t>
      </w:r>
    </w:p>
    <w:p>
      <w:pPr>
        <w:pStyle w:val="24"/>
        <w:pageBreakBefore w:val="0"/>
        <w:kinsoku/>
        <w:wordWrap w:val="0"/>
        <w:overflowPunct/>
        <w:topLinePunct w:val="0"/>
        <w:bidi w:val="0"/>
        <w:ind w:firstLine="1968" w:firstLineChars="700"/>
        <w:rPr>
          <w:rFonts w:hint="default" w:eastAsia="宋体"/>
          <w:b/>
          <w:bCs/>
          <w:color w:val="auto"/>
          <w:sz w:val="28"/>
          <w:szCs w:val="28"/>
          <w:highlight w:val="none"/>
          <w:u w:val="single"/>
          <w:lang w:val="en-US" w:eastAsia="zh-CN"/>
        </w:rPr>
      </w:pPr>
      <w:r>
        <w:rPr>
          <w:rFonts w:hint="eastAsia"/>
          <w:b/>
          <w:bCs/>
          <w:color w:val="auto"/>
          <w:sz w:val="28"/>
          <w:szCs w:val="28"/>
          <w:highlight w:val="none"/>
        </w:rPr>
        <w:t xml:space="preserve">日  </w:t>
      </w:r>
      <w:r>
        <w:rPr>
          <w:rFonts w:hint="eastAsia"/>
          <w:b/>
          <w:bCs/>
          <w:color w:val="auto"/>
          <w:sz w:val="28"/>
          <w:szCs w:val="28"/>
          <w:highlight w:val="none"/>
          <w:lang w:val="en-US" w:eastAsia="zh-CN"/>
        </w:rPr>
        <w:t xml:space="preserve"> </w:t>
      </w:r>
      <w:r>
        <w:rPr>
          <w:rFonts w:hint="eastAsia"/>
          <w:b/>
          <w:bCs/>
          <w:color w:val="auto"/>
          <w:sz w:val="28"/>
          <w:szCs w:val="28"/>
          <w:highlight w:val="none"/>
        </w:rPr>
        <w:t xml:space="preserve"> 期：</w:t>
      </w:r>
      <w:r>
        <w:rPr>
          <w:rFonts w:hint="eastAsia"/>
          <w:b/>
          <w:bCs/>
          <w:color w:val="auto"/>
          <w:sz w:val="28"/>
          <w:szCs w:val="28"/>
          <w:highlight w:val="none"/>
          <w:u w:val="single"/>
        </w:rPr>
        <w:t xml:space="preserve"> 二〇二</w:t>
      </w:r>
      <w:r>
        <w:rPr>
          <w:rFonts w:hint="eastAsia"/>
          <w:b/>
          <w:bCs/>
          <w:color w:val="auto"/>
          <w:sz w:val="28"/>
          <w:szCs w:val="28"/>
          <w:highlight w:val="none"/>
          <w:u w:val="single"/>
          <w:lang w:eastAsia="zh-CN"/>
        </w:rPr>
        <w:t>三</w:t>
      </w:r>
      <w:r>
        <w:rPr>
          <w:rFonts w:hint="eastAsia"/>
          <w:b/>
          <w:bCs/>
          <w:color w:val="auto"/>
          <w:sz w:val="28"/>
          <w:szCs w:val="28"/>
          <w:highlight w:val="none"/>
          <w:u w:val="single"/>
        </w:rPr>
        <w:t>年</w:t>
      </w:r>
      <w:r>
        <w:rPr>
          <w:rFonts w:hint="eastAsia"/>
          <w:b/>
          <w:bCs/>
          <w:color w:val="auto"/>
          <w:sz w:val="28"/>
          <w:szCs w:val="28"/>
          <w:highlight w:val="none"/>
          <w:u w:val="single"/>
          <w:lang w:val="en-US" w:eastAsia="zh-CN"/>
        </w:rPr>
        <w:t>十一</w:t>
      </w:r>
      <w:r>
        <w:rPr>
          <w:rFonts w:hint="eastAsia"/>
          <w:b/>
          <w:bCs/>
          <w:color w:val="auto"/>
          <w:sz w:val="28"/>
          <w:szCs w:val="28"/>
          <w:highlight w:val="none"/>
          <w:u w:val="single"/>
        </w:rPr>
        <w:t>月</w:t>
      </w:r>
      <w:r>
        <w:rPr>
          <w:rFonts w:hint="eastAsia"/>
          <w:b/>
          <w:bCs/>
          <w:color w:val="auto"/>
          <w:sz w:val="28"/>
          <w:szCs w:val="28"/>
          <w:highlight w:val="none"/>
          <w:u w:val="single"/>
          <w:lang w:val="en-US" w:eastAsia="zh-CN"/>
        </w:rPr>
        <w:t xml:space="preserve">     </w:t>
      </w:r>
    </w:p>
    <w:p>
      <w:pPr>
        <w:pageBreakBefore w:val="0"/>
        <w:kinsoku/>
        <w:wordWrap w:val="0"/>
        <w:overflowPunct/>
        <w:topLinePunct w:val="0"/>
        <w:bidi w:val="0"/>
        <w:spacing w:before="0" w:beforeLines="0" w:after="0" w:afterLines="0" w:line="240" w:lineRule="auto"/>
        <w:ind w:left="0" w:leftChars="0" w:right="0" w:rightChars="0" w:firstLine="0" w:firstLineChars="0"/>
        <w:jc w:val="center"/>
        <w:rPr>
          <w:rFonts w:ascii="宋体" w:hAnsi="宋体" w:eastAsia="宋体" w:cs="宋体"/>
          <w:b/>
          <w:bCs/>
          <w:color w:val="auto"/>
          <w:sz w:val="32"/>
          <w:szCs w:val="32"/>
          <w:highlight w:val="none"/>
          <w:lang w:val="zh-CN" w:eastAsia="zh-CN" w:bidi="zh-CN"/>
        </w:rPr>
        <w:sectPr>
          <w:footerReference r:id="rId5" w:type="default"/>
          <w:pgSz w:w="11906" w:h="16838"/>
          <w:pgMar w:top="1418" w:right="1361" w:bottom="1418" w:left="1361" w:header="0" w:footer="0" w:gutter="0"/>
          <w:pgNumType w:fmt="decimal" w:start="1"/>
          <w:cols w:space="720" w:num="1"/>
        </w:sectPr>
      </w:pPr>
    </w:p>
    <w:p>
      <w:pPr>
        <w:pStyle w:val="18"/>
        <w:tabs>
          <w:tab w:val="right" w:leader="dot" w:pos="9184"/>
        </w:tabs>
        <w:spacing w:line="360" w:lineRule="auto"/>
        <w:jc w:val="center"/>
        <w:rPr>
          <w:rFonts w:hint="eastAsia" w:eastAsia="宋体"/>
          <w:sz w:val="28"/>
          <w:szCs w:val="28"/>
          <w:lang w:val="en-US" w:eastAsia="zh-CN"/>
        </w:rPr>
      </w:pPr>
      <w:r>
        <w:rPr>
          <w:rFonts w:hint="eastAsia"/>
          <w:sz w:val="28"/>
          <w:szCs w:val="28"/>
          <w:lang w:val="en-US" w:eastAsia="zh-CN"/>
        </w:rPr>
        <w:t>目录</w:t>
      </w:r>
    </w:p>
    <w:p>
      <w:pPr>
        <w:pStyle w:val="18"/>
        <w:tabs>
          <w:tab w:val="right" w:leader="dot" w:pos="9184"/>
        </w:tabs>
        <w:spacing w:line="36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rPr>
          <w:sz w:val="28"/>
          <w:szCs w:val="28"/>
        </w:rPr>
        <w:fldChar w:fldCharType="begin"/>
      </w:r>
      <w:r>
        <w:rPr>
          <w:sz w:val="28"/>
          <w:szCs w:val="28"/>
        </w:rPr>
        <w:instrText xml:space="preserve"> HYPERLINK \l _Toc16545 </w:instrText>
      </w:r>
      <w:r>
        <w:rPr>
          <w:sz w:val="28"/>
          <w:szCs w:val="28"/>
        </w:rPr>
        <w:fldChar w:fldCharType="separate"/>
      </w:r>
      <w:r>
        <w:rPr>
          <w:sz w:val="28"/>
          <w:szCs w:val="28"/>
          <w:highlight w:val="none"/>
        </w:rPr>
        <w:t>第一章</w:t>
      </w:r>
      <w:r>
        <w:rPr>
          <w:rFonts w:hint="eastAsia"/>
          <w:sz w:val="28"/>
          <w:szCs w:val="28"/>
          <w:highlight w:val="none"/>
          <w:lang w:val="en-US" w:eastAsia="zh-CN"/>
        </w:rPr>
        <w:t xml:space="preserve">  </w:t>
      </w:r>
      <w:r>
        <w:rPr>
          <w:sz w:val="28"/>
          <w:szCs w:val="28"/>
          <w:highlight w:val="none"/>
        </w:rPr>
        <w:t>磋商公告</w:t>
      </w:r>
      <w:r>
        <w:rPr>
          <w:sz w:val="28"/>
          <w:szCs w:val="28"/>
        </w:rPr>
        <w:tab/>
      </w:r>
      <w:r>
        <w:rPr>
          <w:sz w:val="28"/>
          <w:szCs w:val="28"/>
        </w:rPr>
        <w:fldChar w:fldCharType="begin"/>
      </w:r>
      <w:r>
        <w:rPr>
          <w:sz w:val="28"/>
          <w:szCs w:val="28"/>
        </w:rPr>
        <w:instrText xml:space="preserve"> PAGEREF _Toc16545 \h </w:instrText>
      </w:r>
      <w:r>
        <w:rPr>
          <w:sz w:val="28"/>
          <w:szCs w:val="28"/>
        </w:rPr>
        <w:fldChar w:fldCharType="separate"/>
      </w:r>
      <w:r>
        <w:rPr>
          <w:sz w:val="28"/>
          <w:szCs w:val="28"/>
        </w:rPr>
        <w:t>2</w:t>
      </w:r>
      <w:r>
        <w:rPr>
          <w:sz w:val="28"/>
          <w:szCs w:val="28"/>
        </w:rPr>
        <w:fldChar w:fldCharType="end"/>
      </w:r>
      <w:r>
        <w:rPr>
          <w:sz w:val="28"/>
          <w:szCs w:val="28"/>
        </w:rPr>
        <w:fldChar w:fldCharType="end"/>
      </w:r>
    </w:p>
    <w:p>
      <w:pPr>
        <w:pStyle w:val="18"/>
        <w:tabs>
          <w:tab w:val="right" w:leader="dot" w:pos="9184"/>
        </w:tabs>
        <w:spacing w:line="360" w:lineRule="auto"/>
        <w:rPr>
          <w:sz w:val="28"/>
          <w:szCs w:val="28"/>
        </w:rPr>
      </w:pPr>
      <w:r>
        <w:rPr>
          <w:sz w:val="28"/>
          <w:szCs w:val="28"/>
        </w:rPr>
        <w:fldChar w:fldCharType="begin"/>
      </w:r>
      <w:r>
        <w:rPr>
          <w:sz w:val="28"/>
          <w:szCs w:val="28"/>
        </w:rPr>
        <w:instrText xml:space="preserve"> HYPERLINK \l _Toc9236 </w:instrText>
      </w:r>
      <w:r>
        <w:rPr>
          <w:sz w:val="28"/>
          <w:szCs w:val="28"/>
        </w:rPr>
        <w:fldChar w:fldCharType="separate"/>
      </w:r>
      <w:r>
        <w:rPr>
          <w:rFonts w:hint="eastAsia"/>
          <w:sz w:val="28"/>
          <w:szCs w:val="28"/>
        </w:rPr>
        <w:t xml:space="preserve">第二章 </w:t>
      </w:r>
      <w:r>
        <w:rPr>
          <w:sz w:val="28"/>
          <w:szCs w:val="28"/>
          <w:highlight w:val="none"/>
        </w:rPr>
        <w:t>供应商须知</w:t>
      </w:r>
      <w:r>
        <w:rPr>
          <w:sz w:val="28"/>
          <w:szCs w:val="28"/>
        </w:rPr>
        <w:tab/>
      </w:r>
      <w:r>
        <w:rPr>
          <w:sz w:val="28"/>
          <w:szCs w:val="28"/>
        </w:rPr>
        <w:fldChar w:fldCharType="begin"/>
      </w:r>
      <w:r>
        <w:rPr>
          <w:sz w:val="28"/>
          <w:szCs w:val="28"/>
        </w:rPr>
        <w:instrText xml:space="preserve"> PAGEREF _Toc9236 \h </w:instrText>
      </w:r>
      <w:r>
        <w:rPr>
          <w:sz w:val="28"/>
          <w:szCs w:val="28"/>
        </w:rPr>
        <w:fldChar w:fldCharType="separate"/>
      </w:r>
      <w:r>
        <w:rPr>
          <w:sz w:val="28"/>
          <w:szCs w:val="28"/>
        </w:rPr>
        <w:t>5</w:t>
      </w:r>
      <w:r>
        <w:rPr>
          <w:sz w:val="28"/>
          <w:szCs w:val="28"/>
        </w:rPr>
        <w:fldChar w:fldCharType="end"/>
      </w:r>
      <w:r>
        <w:rPr>
          <w:sz w:val="28"/>
          <w:szCs w:val="28"/>
        </w:rPr>
        <w:fldChar w:fldCharType="end"/>
      </w:r>
    </w:p>
    <w:p>
      <w:pPr>
        <w:pStyle w:val="18"/>
        <w:tabs>
          <w:tab w:val="right" w:leader="dot" w:pos="9184"/>
        </w:tabs>
        <w:spacing w:line="360" w:lineRule="auto"/>
        <w:rPr>
          <w:sz w:val="28"/>
          <w:szCs w:val="28"/>
        </w:rPr>
      </w:pPr>
      <w:r>
        <w:rPr>
          <w:sz w:val="28"/>
          <w:szCs w:val="28"/>
        </w:rPr>
        <w:fldChar w:fldCharType="begin"/>
      </w:r>
      <w:r>
        <w:rPr>
          <w:sz w:val="28"/>
          <w:szCs w:val="28"/>
        </w:rPr>
        <w:instrText xml:space="preserve"> HYPERLINK \l _Toc32406 </w:instrText>
      </w:r>
      <w:r>
        <w:rPr>
          <w:sz w:val="28"/>
          <w:szCs w:val="28"/>
        </w:rPr>
        <w:fldChar w:fldCharType="separate"/>
      </w:r>
      <w:r>
        <w:rPr>
          <w:sz w:val="28"/>
          <w:szCs w:val="28"/>
          <w:highlight w:val="none"/>
        </w:rPr>
        <w:t>第三章</w:t>
      </w:r>
      <w:r>
        <w:rPr>
          <w:rFonts w:hint="eastAsia"/>
          <w:sz w:val="28"/>
          <w:szCs w:val="28"/>
          <w:highlight w:val="none"/>
          <w:lang w:val="en-US" w:eastAsia="zh-CN"/>
        </w:rPr>
        <w:t xml:space="preserve">  </w:t>
      </w:r>
      <w:r>
        <w:rPr>
          <w:sz w:val="28"/>
          <w:szCs w:val="28"/>
          <w:highlight w:val="none"/>
        </w:rPr>
        <w:t>评审办法（综合评分法）</w:t>
      </w:r>
      <w:r>
        <w:rPr>
          <w:sz w:val="28"/>
          <w:szCs w:val="28"/>
        </w:rPr>
        <w:tab/>
      </w:r>
      <w:r>
        <w:rPr>
          <w:sz w:val="28"/>
          <w:szCs w:val="28"/>
        </w:rPr>
        <w:fldChar w:fldCharType="begin"/>
      </w:r>
      <w:r>
        <w:rPr>
          <w:sz w:val="28"/>
          <w:szCs w:val="28"/>
        </w:rPr>
        <w:instrText xml:space="preserve"> PAGEREF _Toc32406 \h </w:instrText>
      </w:r>
      <w:r>
        <w:rPr>
          <w:sz w:val="28"/>
          <w:szCs w:val="28"/>
        </w:rPr>
        <w:fldChar w:fldCharType="separate"/>
      </w:r>
      <w:r>
        <w:rPr>
          <w:sz w:val="28"/>
          <w:szCs w:val="28"/>
        </w:rPr>
        <w:t>23</w:t>
      </w:r>
      <w:r>
        <w:rPr>
          <w:sz w:val="28"/>
          <w:szCs w:val="28"/>
        </w:rPr>
        <w:fldChar w:fldCharType="end"/>
      </w:r>
      <w:r>
        <w:rPr>
          <w:sz w:val="28"/>
          <w:szCs w:val="28"/>
        </w:rPr>
        <w:fldChar w:fldCharType="end"/>
      </w:r>
    </w:p>
    <w:p>
      <w:pPr>
        <w:pStyle w:val="18"/>
        <w:tabs>
          <w:tab w:val="right" w:leader="dot" w:pos="9184"/>
        </w:tabs>
        <w:spacing w:line="360" w:lineRule="auto"/>
        <w:rPr>
          <w:sz w:val="28"/>
          <w:szCs w:val="28"/>
        </w:rPr>
      </w:pPr>
      <w:r>
        <w:rPr>
          <w:sz w:val="28"/>
          <w:szCs w:val="28"/>
        </w:rPr>
        <w:fldChar w:fldCharType="begin"/>
      </w:r>
      <w:r>
        <w:rPr>
          <w:sz w:val="28"/>
          <w:szCs w:val="28"/>
        </w:rPr>
        <w:instrText xml:space="preserve"> HYPERLINK \l _Toc4846 </w:instrText>
      </w:r>
      <w:r>
        <w:rPr>
          <w:sz w:val="28"/>
          <w:szCs w:val="28"/>
        </w:rPr>
        <w:fldChar w:fldCharType="separate"/>
      </w:r>
      <w:r>
        <w:rPr>
          <w:sz w:val="28"/>
          <w:szCs w:val="28"/>
          <w:highlight w:val="none"/>
        </w:rPr>
        <w:t>第四章</w:t>
      </w:r>
      <w:r>
        <w:rPr>
          <w:rFonts w:hint="eastAsia"/>
          <w:sz w:val="28"/>
          <w:szCs w:val="28"/>
          <w:highlight w:val="none"/>
          <w:lang w:val="en-US" w:eastAsia="zh-CN"/>
        </w:rPr>
        <w:t xml:space="preserve">  </w:t>
      </w:r>
      <w:r>
        <w:rPr>
          <w:sz w:val="28"/>
          <w:szCs w:val="28"/>
          <w:highlight w:val="none"/>
        </w:rPr>
        <w:t>合同条款及格式</w:t>
      </w:r>
      <w:r>
        <w:rPr>
          <w:sz w:val="28"/>
          <w:szCs w:val="28"/>
        </w:rPr>
        <w:tab/>
      </w:r>
      <w:r>
        <w:rPr>
          <w:sz w:val="28"/>
          <w:szCs w:val="28"/>
        </w:rPr>
        <w:fldChar w:fldCharType="begin"/>
      </w:r>
      <w:r>
        <w:rPr>
          <w:sz w:val="28"/>
          <w:szCs w:val="28"/>
        </w:rPr>
        <w:instrText xml:space="preserve"> PAGEREF _Toc4846 \h </w:instrText>
      </w:r>
      <w:r>
        <w:rPr>
          <w:sz w:val="28"/>
          <w:szCs w:val="28"/>
        </w:rPr>
        <w:fldChar w:fldCharType="separate"/>
      </w:r>
      <w:r>
        <w:rPr>
          <w:sz w:val="28"/>
          <w:szCs w:val="28"/>
        </w:rPr>
        <w:t>30</w:t>
      </w:r>
      <w:r>
        <w:rPr>
          <w:sz w:val="28"/>
          <w:szCs w:val="28"/>
        </w:rPr>
        <w:fldChar w:fldCharType="end"/>
      </w:r>
      <w:r>
        <w:rPr>
          <w:sz w:val="28"/>
          <w:szCs w:val="28"/>
        </w:rPr>
        <w:fldChar w:fldCharType="end"/>
      </w:r>
    </w:p>
    <w:p>
      <w:pPr>
        <w:pStyle w:val="18"/>
        <w:tabs>
          <w:tab w:val="right" w:leader="dot" w:pos="9184"/>
        </w:tabs>
        <w:spacing w:line="360" w:lineRule="auto"/>
        <w:rPr>
          <w:sz w:val="28"/>
          <w:szCs w:val="28"/>
        </w:rPr>
      </w:pPr>
      <w:r>
        <w:rPr>
          <w:sz w:val="28"/>
          <w:szCs w:val="28"/>
        </w:rPr>
        <w:fldChar w:fldCharType="begin"/>
      </w:r>
      <w:r>
        <w:rPr>
          <w:sz w:val="28"/>
          <w:szCs w:val="28"/>
        </w:rPr>
        <w:instrText xml:space="preserve"> HYPERLINK \l _Toc742 </w:instrText>
      </w:r>
      <w:r>
        <w:rPr>
          <w:sz w:val="28"/>
          <w:szCs w:val="28"/>
        </w:rPr>
        <w:fldChar w:fldCharType="separate"/>
      </w:r>
      <w:r>
        <w:rPr>
          <w:sz w:val="28"/>
          <w:szCs w:val="28"/>
          <w:highlight w:val="none"/>
        </w:rPr>
        <w:t>第五章</w:t>
      </w:r>
      <w:r>
        <w:rPr>
          <w:rFonts w:hint="eastAsia"/>
          <w:sz w:val="28"/>
          <w:szCs w:val="28"/>
          <w:highlight w:val="none"/>
          <w:lang w:val="en-US" w:eastAsia="zh-CN"/>
        </w:rPr>
        <w:t xml:space="preserve">  采购</w:t>
      </w:r>
      <w:r>
        <w:rPr>
          <w:rFonts w:hint="eastAsia"/>
          <w:sz w:val="28"/>
          <w:szCs w:val="28"/>
          <w:highlight w:val="none"/>
          <w:lang w:eastAsia="zh-CN"/>
        </w:rPr>
        <w:t>需求</w:t>
      </w:r>
      <w:r>
        <w:rPr>
          <w:sz w:val="28"/>
          <w:szCs w:val="28"/>
        </w:rPr>
        <w:tab/>
      </w:r>
      <w:r>
        <w:rPr>
          <w:sz w:val="28"/>
          <w:szCs w:val="28"/>
        </w:rPr>
        <w:fldChar w:fldCharType="begin"/>
      </w:r>
      <w:r>
        <w:rPr>
          <w:sz w:val="28"/>
          <w:szCs w:val="28"/>
        </w:rPr>
        <w:instrText xml:space="preserve"> PAGEREF _Toc742 \h </w:instrText>
      </w:r>
      <w:r>
        <w:rPr>
          <w:sz w:val="28"/>
          <w:szCs w:val="28"/>
        </w:rPr>
        <w:fldChar w:fldCharType="separate"/>
      </w:r>
      <w:r>
        <w:rPr>
          <w:sz w:val="28"/>
          <w:szCs w:val="28"/>
        </w:rPr>
        <w:t>37</w:t>
      </w:r>
      <w:r>
        <w:rPr>
          <w:sz w:val="28"/>
          <w:szCs w:val="28"/>
        </w:rPr>
        <w:fldChar w:fldCharType="end"/>
      </w:r>
      <w:r>
        <w:rPr>
          <w:sz w:val="28"/>
          <w:szCs w:val="28"/>
        </w:rPr>
        <w:fldChar w:fldCharType="end"/>
      </w:r>
    </w:p>
    <w:p>
      <w:pPr>
        <w:pStyle w:val="18"/>
        <w:tabs>
          <w:tab w:val="right" w:leader="dot" w:pos="9184"/>
        </w:tabs>
        <w:spacing w:line="360" w:lineRule="auto"/>
        <w:rPr>
          <w:sz w:val="28"/>
          <w:szCs w:val="28"/>
        </w:rPr>
      </w:pPr>
      <w:r>
        <w:rPr>
          <w:sz w:val="28"/>
          <w:szCs w:val="28"/>
        </w:rPr>
        <w:fldChar w:fldCharType="begin"/>
      </w:r>
      <w:r>
        <w:rPr>
          <w:sz w:val="28"/>
          <w:szCs w:val="28"/>
        </w:rPr>
        <w:instrText xml:space="preserve"> HYPERLINK \l _Toc25550 </w:instrText>
      </w:r>
      <w:r>
        <w:rPr>
          <w:sz w:val="28"/>
          <w:szCs w:val="28"/>
        </w:rPr>
        <w:fldChar w:fldCharType="separate"/>
      </w:r>
      <w:r>
        <w:rPr>
          <w:sz w:val="28"/>
          <w:szCs w:val="28"/>
          <w:highlight w:val="none"/>
        </w:rPr>
        <w:t>第六章</w:t>
      </w:r>
      <w:r>
        <w:rPr>
          <w:rFonts w:hint="eastAsia"/>
          <w:sz w:val="28"/>
          <w:szCs w:val="28"/>
          <w:highlight w:val="none"/>
          <w:lang w:val="en-US" w:eastAsia="zh-CN"/>
        </w:rPr>
        <w:t xml:space="preserve">  </w:t>
      </w:r>
      <w:r>
        <w:rPr>
          <w:rFonts w:hint="eastAsia"/>
          <w:sz w:val="28"/>
          <w:szCs w:val="28"/>
          <w:highlight w:val="none"/>
          <w:lang w:eastAsia="zh-CN"/>
        </w:rPr>
        <w:t>响应文件格式</w:t>
      </w:r>
      <w:r>
        <w:rPr>
          <w:sz w:val="28"/>
          <w:szCs w:val="28"/>
        </w:rPr>
        <w:tab/>
      </w:r>
      <w:r>
        <w:rPr>
          <w:sz w:val="28"/>
          <w:szCs w:val="28"/>
        </w:rPr>
        <w:fldChar w:fldCharType="begin"/>
      </w:r>
      <w:r>
        <w:rPr>
          <w:sz w:val="28"/>
          <w:szCs w:val="28"/>
        </w:rPr>
        <w:instrText xml:space="preserve"> PAGEREF _Toc25550 \h </w:instrText>
      </w:r>
      <w:r>
        <w:rPr>
          <w:sz w:val="28"/>
          <w:szCs w:val="28"/>
        </w:rPr>
        <w:fldChar w:fldCharType="separate"/>
      </w:r>
      <w:r>
        <w:rPr>
          <w:sz w:val="28"/>
          <w:szCs w:val="28"/>
        </w:rPr>
        <w:t>38</w:t>
      </w:r>
      <w:r>
        <w:rPr>
          <w:sz w:val="28"/>
          <w:szCs w:val="28"/>
        </w:rPr>
        <w:fldChar w:fldCharType="end"/>
      </w:r>
      <w:r>
        <w:rPr>
          <w:sz w:val="28"/>
          <w:szCs w:val="28"/>
        </w:rPr>
        <w:fldChar w:fldCharType="end"/>
      </w:r>
    </w:p>
    <w:p>
      <w:pPr>
        <w:spacing w:line="360" w:lineRule="auto"/>
      </w:pPr>
      <w:r>
        <w:rPr>
          <w:sz w:val="28"/>
          <w:szCs w:val="28"/>
        </w:rPr>
        <w:fldChar w:fldCharType="end"/>
      </w:r>
    </w:p>
    <w:p>
      <w:pPr>
        <w:pageBreakBefore w:val="0"/>
        <w:kinsoku/>
        <w:wordWrap w:val="0"/>
        <w:overflowPunct/>
        <w:topLinePunct w:val="0"/>
        <w:bidi w:val="0"/>
        <w:rPr>
          <w:color w:val="auto"/>
          <w:highlight w:val="none"/>
        </w:rPr>
      </w:pPr>
      <w:r>
        <w:rPr>
          <w:color w:val="auto"/>
          <w:highlight w:val="none"/>
        </w:rPr>
        <w:br w:type="page"/>
      </w:r>
    </w:p>
    <w:p>
      <w:pPr>
        <w:pStyle w:val="2"/>
        <w:keepNext w:val="0"/>
        <w:keepLines w:val="0"/>
        <w:pageBreakBefore w:val="0"/>
        <w:widowControl w:val="0"/>
        <w:kinsoku/>
        <w:wordWrap w:val="0"/>
        <w:overflowPunct/>
        <w:topLinePunct w:val="0"/>
        <w:autoSpaceDE w:val="0"/>
        <w:autoSpaceDN w:val="0"/>
        <w:bidi w:val="0"/>
        <w:adjustRightInd/>
        <w:snapToGrid/>
        <w:spacing w:before="0" w:line="360" w:lineRule="auto"/>
        <w:ind w:left="0" w:leftChars="0" w:firstLine="0" w:firstLineChars="0"/>
        <w:textAlignment w:val="auto"/>
        <w:outlineLvl w:val="0"/>
        <w:rPr>
          <w:color w:val="auto"/>
          <w:highlight w:val="none"/>
        </w:rPr>
      </w:pPr>
      <w:bookmarkStart w:id="0" w:name="_Toc5851"/>
      <w:bookmarkStart w:id="1" w:name="_Toc22344"/>
      <w:bookmarkStart w:id="2" w:name="_Toc16545"/>
      <w:bookmarkStart w:id="3" w:name="_Toc4484"/>
      <w:bookmarkStart w:id="4" w:name="_Toc3161"/>
      <w:r>
        <w:rPr>
          <w:color w:val="auto"/>
          <w:highlight w:val="none"/>
        </w:rPr>
        <w:t>第一章</w:t>
      </w:r>
      <w:bookmarkStart w:id="5" w:name="第一章 磋商公告"/>
      <w:bookmarkEnd w:id="5"/>
      <w:r>
        <w:rPr>
          <w:rFonts w:hint="eastAsia"/>
          <w:color w:val="auto"/>
          <w:highlight w:val="none"/>
          <w:lang w:val="en-US" w:eastAsia="zh-CN"/>
        </w:rPr>
        <w:t xml:space="preserve">  </w:t>
      </w:r>
      <w:r>
        <w:rPr>
          <w:color w:val="auto"/>
          <w:highlight w:val="none"/>
        </w:rPr>
        <w:t>磋商公告</w:t>
      </w:r>
      <w:bookmarkEnd w:id="0"/>
      <w:bookmarkEnd w:id="1"/>
      <w:bookmarkEnd w:id="2"/>
      <w:bookmarkEnd w:id="3"/>
      <w:bookmarkEnd w:id="4"/>
    </w:p>
    <w:p>
      <w:pPr>
        <w:keepNext w:val="0"/>
        <w:keepLines w:val="0"/>
        <w:pageBreakBefore w:val="0"/>
        <w:widowControl w:val="0"/>
        <w:kinsoku/>
        <w:wordWrap w:val="0"/>
        <w:overflowPunct/>
        <w:topLinePunct w:val="0"/>
        <w:autoSpaceDE w:val="0"/>
        <w:autoSpaceDN w:val="0"/>
        <w:bidi w:val="0"/>
        <w:adjustRightInd/>
        <w:snapToGrid/>
        <w:spacing w:before="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郑州中学大数据智能教学终端设备采购项目-竞争性磋商公告</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b/>
          <w:bCs/>
          <w:color w:val="auto"/>
          <w:sz w:val="21"/>
          <w:szCs w:val="21"/>
          <w:highlight w:val="none"/>
        </w:rPr>
      </w:pPr>
      <w:bookmarkStart w:id="6" w:name="_Toc6917"/>
      <w:r>
        <w:rPr>
          <w:rFonts w:hint="eastAsia" w:ascii="宋体" w:hAnsi="宋体" w:eastAsia="宋体" w:cs="宋体"/>
          <w:b/>
          <w:bCs/>
          <w:color w:val="auto"/>
          <w:sz w:val="21"/>
          <w:szCs w:val="21"/>
          <w:highlight w:val="none"/>
        </w:rPr>
        <w:t>一、项目基本情况</w:t>
      </w:r>
      <w:bookmarkEnd w:id="6"/>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项目</w:t>
      </w:r>
      <w:r>
        <w:rPr>
          <w:rFonts w:hint="eastAsia" w:ascii="宋体" w:hAnsi="宋体" w:eastAsia="宋体" w:cs="宋体"/>
          <w:color w:val="auto"/>
          <w:sz w:val="21"/>
          <w:szCs w:val="21"/>
          <w:highlight w:val="none"/>
        </w:rPr>
        <w:t>编号：</w:t>
      </w:r>
      <w:r>
        <w:rPr>
          <w:rFonts w:hint="eastAsia" w:cs="宋体"/>
          <w:color w:val="auto"/>
          <w:sz w:val="21"/>
          <w:szCs w:val="21"/>
          <w:highlight w:val="none"/>
          <w:lang w:eastAsia="zh-CN"/>
        </w:rPr>
        <w:t>高新竞争性磋商采购[2023]24号</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2、项目名称：</w:t>
      </w:r>
      <w:r>
        <w:rPr>
          <w:rFonts w:hint="eastAsia" w:cs="宋体"/>
          <w:color w:val="auto"/>
          <w:sz w:val="21"/>
          <w:szCs w:val="21"/>
          <w:highlight w:val="none"/>
          <w:lang w:eastAsia="zh-CN"/>
        </w:rPr>
        <w:t>郑州中学大数据智能教学终端设备采购项目</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3、采购方式：竞争性磋商</w:t>
      </w:r>
    </w:p>
    <w:p>
      <w:pPr>
        <w:keepNext w:val="0"/>
        <w:keepLines w:val="0"/>
        <w:pageBreakBefore w:val="0"/>
        <w:widowControl w:val="0"/>
        <w:kinsoku/>
        <w:wordWrap w:val="0"/>
        <w:overflowPunct/>
        <w:topLinePunct w:val="0"/>
        <w:autoSpaceDE/>
        <w:autoSpaceDN/>
        <w:bidi w:val="0"/>
        <w:adjustRightInd/>
        <w:snapToGrid/>
        <w:spacing w:line="360" w:lineRule="auto"/>
        <w:ind w:left="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4.预算金额：</w:t>
      </w:r>
      <w:r>
        <w:rPr>
          <w:rFonts w:hint="eastAsia" w:cs="宋体"/>
          <w:color w:val="auto"/>
          <w:sz w:val="21"/>
          <w:szCs w:val="21"/>
          <w:highlight w:val="none"/>
          <w:lang w:val="en-US" w:eastAsia="zh-CN"/>
        </w:rPr>
        <w:t>480000</w:t>
      </w:r>
      <w:r>
        <w:rPr>
          <w:rFonts w:hint="eastAsia" w:ascii="宋体" w:hAnsi="宋体" w:eastAsia="宋体" w:cs="宋体"/>
          <w:color w:val="auto"/>
          <w:sz w:val="21"/>
          <w:szCs w:val="21"/>
          <w:highlight w:val="none"/>
        </w:rPr>
        <w:t>元</w:t>
      </w:r>
    </w:p>
    <w:p>
      <w:pPr>
        <w:keepNext w:val="0"/>
        <w:keepLines w:val="0"/>
        <w:pageBreakBefore w:val="0"/>
        <w:widowControl w:val="0"/>
        <w:kinsoku/>
        <w:wordWrap w:val="0"/>
        <w:overflowPunct/>
        <w:topLinePunct w:val="0"/>
        <w:autoSpaceDE/>
        <w:autoSpaceDN/>
        <w:bidi w:val="0"/>
        <w:adjustRightInd/>
        <w:snapToGrid/>
        <w:spacing w:line="360" w:lineRule="auto"/>
        <w:ind w:left="44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w:t>
      </w:r>
      <w:r>
        <w:rPr>
          <w:rFonts w:hint="eastAsia" w:cs="宋体"/>
          <w:color w:val="auto"/>
          <w:sz w:val="21"/>
          <w:szCs w:val="21"/>
          <w:highlight w:val="none"/>
          <w:lang w:val="en-US" w:eastAsia="zh-CN"/>
        </w:rPr>
        <w:t>480000</w:t>
      </w:r>
      <w:r>
        <w:rPr>
          <w:rFonts w:hint="eastAsia" w:ascii="宋体" w:hAnsi="宋体" w:eastAsia="宋体" w:cs="宋体"/>
          <w:color w:val="auto"/>
          <w:kern w:val="0"/>
          <w:sz w:val="21"/>
          <w:szCs w:val="21"/>
          <w:highlight w:val="none"/>
        </w:rPr>
        <w:t>元。</w:t>
      </w:r>
    </w:p>
    <w:tbl>
      <w:tblPr>
        <w:tblStyle w:val="26"/>
        <w:tblW w:w="42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24"/>
        <w:gridCol w:w="3096"/>
        <w:gridCol w:w="1454"/>
        <w:gridCol w:w="1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350" w:type="pct"/>
            <w:noWrap w:val="0"/>
            <w:vAlign w:val="center"/>
          </w:tcPr>
          <w:p>
            <w:pPr>
              <w:pStyle w:val="22"/>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897" w:type="pct"/>
            <w:noWrap w:val="0"/>
            <w:vAlign w:val="center"/>
          </w:tcPr>
          <w:p>
            <w:pPr>
              <w:pStyle w:val="22"/>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包号</w:t>
            </w:r>
          </w:p>
        </w:tc>
        <w:tc>
          <w:tcPr>
            <w:tcW w:w="1950" w:type="pct"/>
            <w:noWrap w:val="0"/>
            <w:vAlign w:val="center"/>
          </w:tcPr>
          <w:p>
            <w:pPr>
              <w:pStyle w:val="22"/>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包名称</w:t>
            </w:r>
          </w:p>
        </w:tc>
        <w:tc>
          <w:tcPr>
            <w:tcW w:w="916" w:type="pct"/>
            <w:noWrap w:val="0"/>
            <w:vAlign w:val="center"/>
          </w:tcPr>
          <w:p>
            <w:pPr>
              <w:pStyle w:val="22"/>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包预算（元）</w:t>
            </w:r>
          </w:p>
        </w:tc>
        <w:tc>
          <w:tcPr>
            <w:tcW w:w="885" w:type="pct"/>
            <w:noWrap w:val="0"/>
            <w:vAlign w:val="center"/>
          </w:tcPr>
          <w:p>
            <w:pPr>
              <w:pStyle w:val="22"/>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350" w:type="pct"/>
            <w:noWrap w:val="0"/>
            <w:vAlign w:val="center"/>
          </w:tcPr>
          <w:p>
            <w:pPr>
              <w:pStyle w:val="42"/>
              <w:keepNext w:val="0"/>
              <w:keepLines w:val="0"/>
              <w:pageBreakBefore w:val="0"/>
              <w:widowControl w:val="0"/>
              <w:numPr>
                <w:ilvl w:val="0"/>
                <w:numId w:val="0"/>
              </w:numPr>
              <w:kinsoku/>
              <w:wordWrap w:val="0"/>
              <w:overflowPunct/>
              <w:topLinePunct w:val="0"/>
              <w:bidi w:val="0"/>
              <w:spacing w:line="360" w:lineRule="auto"/>
              <w:ind w:leftChars="0"/>
              <w:jc w:val="center"/>
              <w:textAlignment w:val="auto"/>
              <w:rPr>
                <w:rFonts w:hint="eastAsia" w:ascii="宋体" w:hAnsi="宋体" w:eastAsia="宋体" w:cs="宋体"/>
                <w:color w:val="auto"/>
                <w:sz w:val="21"/>
                <w:szCs w:val="21"/>
                <w:highlight w:val="none"/>
                <w:lang w:val="en-US" w:eastAsia="zh-CN"/>
              </w:rPr>
            </w:pPr>
            <w:bookmarkStart w:id="7" w:name="_Toc23228"/>
            <w:bookmarkStart w:id="8" w:name="_Toc25361"/>
            <w:bookmarkStart w:id="9" w:name="_Toc10486"/>
            <w:r>
              <w:rPr>
                <w:rFonts w:hint="eastAsia" w:ascii="宋体" w:hAnsi="宋体" w:eastAsia="宋体" w:cs="宋体"/>
                <w:color w:val="auto"/>
                <w:sz w:val="21"/>
                <w:szCs w:val="21"/>
                <w:highlight w:val="none"/>
                <w:lang w:val="en-US" w:eastAsia="zh-CN"/>
              </w:rPr>
              <w:t>1</w:t>
            </w:r>
            <w:bookmarkEnd w:id="7"/>
            <w:bookmarkEnd w:id="8"/>
            <w:bookmarkEnd w:id="9"/>
          </w:p>
        </w:tc>
        <w:tc>
          <w:tcPr>
            <w:tcW w:w="897" w:type="pct"/>
            <w:noWrap w:val="0"/>
            <w:vAlign w:val="center"/>
          </w:tcPr>
          <w:p>
            <w:pPr>
              <w:pStyle w:val="25"/>
              <w:keepNext w:val="0"/>
              <w:keepLines w:val="0"/>
              <w:pageBreakBefore w:val="0"/>
              <w:widowControl w:val="0"/>
              <w:tabs>
                <w:tab w:val="left" w:pos="945"/>
                <w:tab w:val="left" w:pos="1155"/>
              </w:tabs>
              <w:kinsoku/>
              <w:wordWrap w:val="0"/>
              <w:overflowPunct/>
              <w:topLinePunct w:val="0"/>
              <w:bidi w:val="0"/>
              <w:spacing w:line="360" w:lineRule="auto"/>
              <w:ind w:left="0" w:leftChars="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高新竞争性磋商采购[2023]24号</w:t>
            </w:r>
          </w:p>
        </w:tc>
        <w:tc>
          <w:tcPr>
            <w:tcW w:w="1950" w:type="pct"/>
            <w:noWrap w:val="0"/>
            <w:vAlign w:val="center"/>
          </w:tcPr>
          <w:p>
            <w:pPr>
              <w:keepNext w:val="0"/>
              <w:keepLines w:val="0"/>
              <w:pageBreakBefore w:val="0"/>
              <w:widowControl w:val="0"/>
              <w:kinsoku/>
              <w:wordWrap w:val="0"/>
              <w:overflowPunct/>
              <w:topLinePunct w:val="0"/>
              <w:autoSpaceDE w:val="0"/>
              <w:autoSpaceDN w:val="0"/>
              <w:bidi w:val="0"/>
              <w:spacing w:before="1" w:line="360" w:lineRule="auto"/>
              <w:ind w:left="106" w:leftChars="0" w:right="94" w:rightChars="0" w:hanging="2" w:firstLineChars="0"/>
              <w:jc w:val="center"/>
              <w:textAlignment w:val="auto"/>
              <w:rPr>
                <w:rFonts w:hint="eastAsia" w:ascii="宋体" w:hAnsi="宋体" w:eastAsia="宋体" w:cs="宋体"/>
                <w:color w:val="auto"/>
                <w:kern w:val="0"/>
                <w:sz w:val="21"/>
                <w:szCs w:val="21"/>
                <w:highlight w:val="none"/>
                <w:lang w:eastAsia="zh-CN"/>
              </w:rPr>
            </w:pPr>
            <w:r>
              <w:rPr>
                <w:rFonts w:hint="eastAsia" w:cs="宋体"/>
                <w:color w:val="auto"/>
                <w:kern w:val="0"/>
                <w:sz w:val="21"/>
                <w:szCs w:val="21"/>
                <w:highlight w:val="none"/>
                <w:lang w:eastAsia="zh-CN"/>
              </w:rPr>
              <w:t>郑州中学大数据智能教学终端设备采购项目</w:t>
            </w:r>
          </w:p>
        </w:tc>
        <w:tc>
          <w:tcPr>
            <w:tcW w:w="916" w:type="pct"/>
            <w:noWrap w:val="0"/>
            <w:vAlign w:val="center"/>
          </w:tcPr>
          <w:p>
            <w:pPr>
              <w:keepNext w:val="0"/>
              <w:keepLines w:val="0"/>
              <w:pageBreakBefore w:val="0"/>
              <w:widowControl w:val="0"/>
              <w:kinsoku/>
              <w:wordWrap w:val="0"/>
              <w:overflowPunct/>
              <w:topLinePunct w:val="0"/>
              <w:autoSpaceDE w:val="0"/>
              <w:autoSpaceDN w:val="0"/>
              <w:bidi w:val="0"/>
              <w:spacing w:before="1" w:line="360" w:lineRule="auto"/>
              <w:ind w:left="106" w:leftChars="0" w:right="94" w:rightChars="0" w:hanging="2" w:firstLineChars="0"/>
              <w:jc w:val="center"/>
              <w:textAlignment w:val="auto"/>
              <w:rPr>
                <w:rFonts w:hint="eastAsia" w:ascii="宋体" w:hAnsi="宋体" w:eastAsia="宋体" w:cs="宋体"/>
                <w:color w:val="auto"/>
                <w:kern w:val="0"/>
                <w:sz w:val="21"/>
                <w:szCs w:val="21"/>
                <w:highlight w:val="none"/>
              </w:rPr>
            </w:pPr>
            <w:r>
              <w:rPr>
                <w:rFonts w:hint="eastAsia" w:cs="宋体"/>
                <w:color w:val="auto"/>
                <w:sz w:val="21"/>
                <w:szCs w:val="21"/>
                <w:highlight w:val="none"/>
                <w:lang w:val="en-US" w:bidi="zh-CN"/>
              </w:rPr>
              <w:t>480000</w:t>
            </w:r>
          </w:p>
        </w:tc>
        <w:tc>
          <w:tcPr>
            <w:tcW w:w="885" w:type="pct"/>
            <w:noWrap w:val="0"/>
            <w:vAlign w:val="center"/>
          </w:tcPr>
          <w:p>
            <w:pPr>
              <w:keepNext w:val="0"/>
              <w:keepLines w:val="0"/>
              <w:pageBreakBefore w:val="0"/>
              <w:widowControl w:val="0"/>
              <w:kinsoku/>
              <w:wordWrap w:val="0"/>
              <w:overflowPunct/>
              <w:topLinePunct w:val="0"/>
              <w:bidi w:val="0"/>
              <w:adjustRightInd w:val="0"/>
              <w:snapToGrid w:val="0"/>
              <w:spacing w:line="360" w:lineRule="auto"/>
              <w:jc w:val="center"/>
              <w:textAlignment w:val="auto"/>
              <w:rPr>
                <w:rFonts w:hint="eastAsia" w:ascii="宋体" w:hAnsi="宋体" w:eastAsia="宋体" w:cs="宋体"/>
                <w:color w:val="auto"/>
                <w:kern w:val="0"/>
                <w:sz w:val="21"/>
                <w:szCs w:val="21"/>
                <w:highlight w:val="none"/>
              </w:rPr>
            </w:pPr>
            <w:r>
              <w:rPr>
                <w:rFonts w:hint="eastAsia" w:cs="宋体"/>
                <w:color w:val="auto"/>
                <w:sz w:val="21"/>
                <w:szCs w:val="21"/>
                <w:highlight w:val="none"/>
                <w:lang w:val="en-US" w:bidi="zh-CN"/>
              </w:rPr>
              <w:t>48</w:t>
            </w:r>
            <w:bookmarkStart w:id="397" w:name="_GoBack"/>
            <w:bookmarkEnd w:id="397"/>
            <w:r>
              <w:rPr>
                <w:rFonts w:hint="eastAsia" w:cs="宋体"/>
                <w:color w:val="auto"/>
                <w:sz w:val="21"/>
                <w:szCs w:val="21"/>
                <w:highlight w:val="none"/>
                <w:lang w:val="en-US" w:bidi="zh-CN"/>
              </w:rPr>
              <w:t xml:space="preserve">0000 </w:t>
            </w:r>
          </w:p>
        </w:tc>
      </w:tr>
    </w:tbl>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5、采购需求（包括但不限于标的名称、数量、简要技术需求或服务要求等）</w:t>
      </w:r>
    </w:p>
    <w:p>
      <w:pPr>
        <w:keepNext w:val="0"/>
        <w:keepLines w:val="0"/>
        <w:pageBreakBefore w:val="0"/>
        <w:widowControl w:val="0"/>
        <w:kinsoku/>
        <w:wordWrap w:val="0"/>
        <w:overflowPunct/>
        <w:topLinePunct w:val="0"/>
        <w:bidi w:val="0"/>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5.1、</w:t>
      </w:r>
      <w:r>
        <w:rPr>
          <w:rFonts w:hint="eastAsia" w:ascii="宋体" w:hAnsi="宋体" w:eastAsia="宋体" w:cs="宋体"/>
          <w:color w:val="auto"/>
          <w:sz w:val="21"/>
          <w:szCs w:val="21"/>
          <w:highlight w:val="none"/>
        </w:rPr>
        <w:t>项目简要说明：</w:t>
      </w:r>
      <w:r>
        <w:rPr>
          <w:rFonts w:hint="eastAsia" w:cs="宋体"/>
          <w:color w:val="auto"/>
          <w:sz w:val="21"/>
          <w:szCs w:val="21"/>
          <w:highlight w:val="none"/>
          <w:lang w:eastAsia="zh-CN"/>
        </w:rPr>
        <w:t>郑州中学大数据智能教学终端设备采购项目，</w:t>
      </w:r>
      <w:r>
        <w:rPr>
          <w:rFonts w:hint="eastAsia" w:cs="宋体"/>
          <w:color w:val="auto"/>
          <w:sz w:val="21"/>
          <w:szCs w:val="21"/>
          <w:highlight w:val="none"/>
          <w:lang w:val="en-US" w:eastAsia="zh-CN"/>
        </w:rPr>
        <w:t>包含</w:t>
      </w:r>
      <w:r>
        <w:rPr>
          <w:rFonts w:hint="eastAsia" w:cs="宋体"/>
          <w:color w:val="auto"/>
          <w:sz w:val="21"/>
          <w:szCs w:val="21"/>
          <w:highlight w:val="none"/>
          <w:lang w:eastAsia="zh-CN"/>
        </w:rPr>
        <w:t>学校教学大数据教学云平台及资源、学生端PAD终端配置、配套充电及网络设备</w:t>
      </w:r>
      <w:r>
        <w:rPr>
          <w:rFonts w:hint="eastAsia" w:cs="宋体"/>
          <w:color w:val="auto"/>
          <w:sz w:val="21"/>
          <w:szCs w:val="21"/>
          <w:highlight w:val="none"/>
          <w:lang w:val="en-US" w:eastAsia="zh-CN"/>
        </w:rPr>
        <w:t>等</w:t>
      </w:r>
      <w:r>
        <w:rPr>
          <w:rFonts w:hint="eastAsia" w:cs="宋体"/>
          <w:color w:val="auto"/>
          <w:sz w:val="21"/>
          <w:szCs w:val="21"/>
          <w:highlight w:val="none"/>
          <w:lang w:eastAsia="zh-CN"/>
        </w:rPr>
        <w:t>部分</w:t>
      </w:r>
      <w:r>
        <w:rPr>
          <w:rFonts w:hint="eastAsia" w:ascii="宋体" w:hAnsi="宋体" w:eastAsia="宋体" w:cs="宋体"/>
          <w:color w:val="auto"/>
          <w:sz w:val="21"/>
          <w:szCs w:val="21"/>
          <w:highlight w:val="none"/>
          <w:lang w:eastAsia="zh-CN"/>
        </w:rPr>
        <w:t>；</w:t>
      </w:r>
    </w:p>
    <w:p>
      <w:pPr>
        <w:pStyle w:val="45"/>
        <w:keepNext w:val="0"/>
        <w:keepLines w:val="0"/>
        <w:pageBreakBefore w:val="0"/>
        <w:widowControl w:val="0"/>
        <w:numPr>
          <w:ilvl w:val="0"/>
          <w:numId w:val="0"/>
        </w:numPr>
        <w:tabs>
          <w:tab w:val="left" w:pos="1922"/>
        </w:tabs>
        <w:kinsoku/>
        <w:wordWrap w:val="0"/>
        <w:overflowPunct/>
        <w:topLinePunct w:val="0"/>
        <w:autoSpaceDE w:val="0"/>
        <w:autoSpaceDN w:val="0"/>
        <w:bidi w:val="0"/>
        <w:adjustRightInd/>
        <w:snapToGrid/>
        <w:spacing w:before="0" w:after="0" w:line="360" w:lineRule="auto"/>
        <w:ind w:right="0" w:rightChars="0" w:firstLine="420" w:firstLineChars="200"/>
        <w:jc w:val="left"/>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5.2、包段划分：本项目共分</w:t>
      </w:r>
      <w:r>
        <w:rPr>
          <w:rFonts w:hint="eastAsia" w:cs="宋体"/>
          <w:color w:val="auto"/>
          <w:sz w:val="21"/>
          <w:szCs w:val="21"/>
          <w:highlight w:val="none"/>
          <w:lang w:val="en-US" w:eastAsia="zh-CN" w:bidi="zh-CN"/>
        </w:rPr>
        <w:t>1</w:t>
      </w:r>
      <w:r>
        <w:rPr>
          <w:rFonts w:hint="eastAsia" w:ascii="宋体" w:hAnsi="宋体" w:eastAsia="宋体" w:cs="宋体"/>
          <w:color w:val="auto"/>
          <w:sz w:val="21"/>
          <w:szCs w:val="21"/>
          <w:highlight w:val="none"/>
          <w:lang w:val="en-US" w:eastAsia="zh-CN" w:bidi="zh-CN"/>
        </w:rPr>
        <w:t>个包段；</w:t>
      </w:r>
    </w:p>
    <w:p>
      <w:pPr>
        <w:pStyle w:val="45"/>
        <w:keepNext w:val="0"/>
        <w:keepLines w:val="0"/>
        <w:pageBreakBefore w:val="0"/>
        <w:widowControl w:val="0"/>
        <w:numPr>
          <w:ilvl w:val="0"/>
          <w:numId w:val="0"/>
        </w:numPr>
        <w:tabs>
          <w:tab w:val="left" w:pos="1922"/>
        </w:tabs>
        <w:kinsoku/>
        <w:wordWrap w:val="0"/>
        <w:overflowPunct/>
        <w:topLinePunct w:val="0"/>
        <w:autoSpaceDE w:val="0"/>
        <w:autoSpaceDN w:val="0"/>
        <w:bidi w:val="0"/>
        <w:adjustRightInd/>
        <w:snapToGrid/>
        <w:spacing w:before="0" w:after="0" w:line="360" w:lineRule="auto"/>
        <w:ind w:right="0" w:rightChars="0" w:firstLine="420" w:firstLineChars="200"/>
        <w:jc w:val="left"/>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5.3、</w:t>
      </w:r>
      <w:r>
        <w:rPr>
          <w:rFonts w:hint="eastAsia" w:cs="宋体"/>
          <w:color w:val="auto"/>
          <w:sz w:val="21"/>
          <w:szCs w:val="21"/>
          <w:highlight w:val="none"/>
          <w:lang w:val="en-US" w:eastAsia="zh-CN" w:bidi="zh-CN"/>
        </w:rPr>
        <w:t>供货及安装期</w:t>
      </w:r>
      <w:r>
        <w:rPr>
          <w:rFonts w:hint="eastAsia" w:ascii="宋体" w:hAnsi="宋体" w:eastAsia="宋体" w:cs="宋体"/>
          <w:color w:val="auto"/>
          <w:sz w:val="21"/>
          <w:szCs w:val="21"/>
          <w:highlight w:val="none"/>
          <w:lang w:val="en-US" w:eastAsia="zh-CN" w:bidi="zh-CN"/>
        </w:rPr>
        <w:t>：</w:t>
      </w:r>
      <w:r>
        <w:rPr>
          <w:rFonts w:hint="eastAsia" w:cs="宋体"/>
          <w:color w:val="auto"/>
          <w:sz w:val="21"/>
          <w:szCs w:val="21"/>
          <w:highlight w:val="none"/>
          <w:lang w:val="en-US" w:eastAsia="zh-CN" w:bidi="zh-CN"/>
        </w:rPr>
        <w:t>30日历天</w:t>
      </w:r>
      <w:r>
        <w:rPr>
          <w:rFonts w:hint="eastAsia" w:ascii="宋体" w:hAnsi="宋体" w:eastAsia="宋体" w:cs="宋体"/>
          <w:color w:val="auto"/>
          <w:sz w:val="21"/>
          <w:szCs w:val="21"/>
          <w:highlight w:val="none"/>
          <w:lang w:val="en-US" w:eastAsia="zh-CN" w:bidi="zh-CN"/>
        </w:rPr>
        <w:t>；</w:t>
      </w:r>
    </w:p>
    <w:p>
      <w:pPr>
        <w:pStyle w:val="45"/>
        <w:keepNext w:val="0"/>
        <w:keepLines w:val="0"/>
        <w:pageBreakBefore w:val="0"/>
        <w:widowControl w:val="0"/>
        <w:numPr>
          <w:ilvl w:val="0"/>
          <w:numId w:val="0"/>
        </w:numPr>
        <w:tabs>
          <w:tab w:val="left" w:pos="1922"/>
        </w:tabs>
        <w:kinsoku/>
        <w:wordWrap w:val="0"/>
        <w:overflowPunct/>
        <w:topLinePunct w:val="0"/>
        <w:autoSpaceDE w:val="0"/>
        <w:autoSpaceDN w:val="0"/>
        <w:bidi w:val="0"/>
        <w:adjustRightInd/>
        <w:snapToGrid/>
        <w:spacing w:before="0" w:after="0" w:line="360" w:lineRule="auto"/>
        <w:ind w:right="0" w:rightChars="0" w:firstLine="420" w:firstLineChars="200"/>
        <w:jc w:val="left"/>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5.4、质量要求：</w:t>
      </w:r>
      <w:r>
        <w:rPr>
          <w:rFonts w:hint="eastAsia" w:cs="宋体"/>
          <w:color w:val="auto"/>
          <w:sz w:val="21"/>
          <w:szCs w:val="21"/>
          <w:highlight w:val="none"/>
          <w:lang w:val="en-US" w:eastAsia="zh-CN" w:bidi="zh-CN"/>
        </w:rPr>
        <w:t>符合国家或行业规定的合格标准</w:t>
      </w:r>
      <w:r>
        <w:rPr>
          <w:rFonts w:hint="eastAsia" w:ascii="宋体" w:hAnsi="宋体" w:eastAsia="宋体" w:cs="宋体"/>
          <w:color w:val="auto"/>
          <w:sz w:val="21"/>
          <w:szCs w:val="21"/>
          <w:highlight w:val="none"/>
          <w:lang w:val="en-US" w:eastAsia="zh-CN" w:bidi="zh-CN"/>
        </w:rPr>
        <w:t>。</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6、合同履行期限：</w:t>
      </w:r>
      <w:r>
        <w:rPr>
          <w:rFonts w:hint="eastAsia" w:cs="宋体"/>
          <w:color w:val="auto"/>
          <w:sz w:val="21"/>
          <w:szCs w:val="21"/>
          <w:highlight w:val="none"/>
          <w:lang w:val="en-US" w:eastAsia="zh-CN"/>
        </w:rPr>
        <w:t>30</w:t>
      </w:r>
      <w:r>
        <w:rPr>
          <w:rFonts w:hint="eastAsia" w:ascii="宋体" w:hAnsi="宋体" w:eastAsia="宋体" w:cs="宋体"/>
          <w:color w:val="auto"/>
          <w:sz w:val="21"/>
          <w:szCs w:val="21"/>
          <w:highlight w:val="none"/>
        </w:rPr>
        <w:t>日历天</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7、本项目是否接受联合体投标：否</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8、是否接受进口产品：否</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9、是否专门面向中小企业：</w:t>
      </w:r>
      <w:r>
        <w:rPr>
          <w:rFonts w:hint="eastAsia" w:cs="宋体"/>
          <w:color w:val="auto"/>
          <w:sz w:val="21"/>
          <w:szCs w:val="21"/>
          <w:highlight w:val="none"/>
          <w:lang w:val="en-US" w:eastAsia="zh-CN"/>
        </w:rPr>
        <w:t>否</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b/>
          <w:bCs/>
          <w:color w:val="auto"/>
          <w:sz w:val="21"/>
          <w:szCs w:val="21"/>
          <w:highlight w:val="none"/>
        </w:rPr>
      </w:pPr>
      <w:bookmarkStart w:id="10" w:name="_Toc5080"/>
      <w:r>
        <w:rPr>
          <w:rFonts w:hint="eastAsia" w:ascii="宋体" w:hAnsi="宋体" w:eastAsia="宋体" w:cs="宋体"/>
          <w:b/>
          <w:bCs/>
          <w:color w:val="auto"/>
          <w:sz w:val="21"/>
          <w:szCs w:val="21"/>
          <w:highlight w:val="none"/>
        </w:rPr>
        <w:t>二、申请人</w:t>
      </w:r>
      <w:r>
        <w:rPr>
          <w:rFonts w:hint="eastAsia" w:ascii="宋体" w:hAnsi="宋体" w:eastAsia="宋体" w:cs="宋体"/>
          <w:b/>
          <w:bCs/>
          <w:color w:val="auto"/>
          <w:sz w:val="21"/>
          <w:szCs w:val="21"/>
          <w:highlight w:val="none"/>
          <w:lang w:eastAsia="zh-CN"/>
        </w:rPr>
        <w:t>资</w:t>
      </w:r>
      <w:r>
        <w:rPr>
          <w:rFonts w:hint="eastAsia" w:ascii="宋体" w:hAnsi="宋体" w:eastAsia="宋体" w:cs="宋体"/>
          <w:b/>
          <w:bCs/>
          <w:color w:val="auto"/>
          <w:sz w:val="21"/>
          <w:szCs w:val="21"/>
          <w:highlight w:val="none"/>
        </w:rPr>
        <w:t>格要求</w:t>
      </w:r>
      <w:bookmarkEnd w:id="10"/>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bookmarkStart w:id="11" w:name="_Toc26925"/>
      <w:r>
        <w:rPr>
          <w:rFonts w:hint="eastAsia" w:ascii="宋体" w:hAnsi="宋体" w:eastAsia="宋体" w:cs="宋体"/>
          <w:color w:val="auto"/>
          <w:sz w:val="21"/>
          <w:szCs w:val="21"/>
          <w:highlight w:val="none"/>
          <w:lang w:val="en-US" w:eastAsia="zh-CN"/>
        </w:rPr>
        <w:t xml:space="preserve">1、满足《中华人民共和国政府采购法》第二十二条规定； </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2、落实政府采购政策满足的资格要求： </w:t>
      </w:r>
      <w:r>
        <w:rPr>
          <w:rFonts w:hint="eastAsia" w:cs="宋体"/>
          <w:color w:val="auto"/>
          <w:sz w:val="21"/>
          <w:szCs w:val="21"/>
          <w:highlight w:val="none"/>
          <w:lang w:val="en-US" w:eastAsia="zh-CN"/>
        </w:rPr>
        <w:t>无</w:t>
      </w:r>
      <w:r>
        <w:rPr>
          <w:rFonts w:hint="eastAsia" w:ascii="宋体" w:hAnsi="宋体" w:eastAsia="宋体" w:cs="宋体"/>
          <w:color w:val="auto"/>
          <w:sz w:val="21"/>
          <w:szCs w:val="21"/>
          <w:highlight w:val="none"/>
          <w:lang w:val="en-US"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3、本项目的特定资格要求：</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 根据《关于在政府采购活动中查询及使用信用记录有关问题的通知》(财库[2016]125号)和豫财购[2016]15号的规定，对列入失信被执行人名单、重大税收违法案件当事人名单（现重大税收违法失信主体名单）、政府采购严重违法失信行为记录名单的企业，拒绝参与本项目政府采购活动（查询渠道：“中国执行信息公开网（zxgk.court.gov.cn/shixin）”查询：失信被执行人名单；“信用中国”网站（www.creditchina.gov.cn）查询：重大税收违法案件当事人名单（现重大税收违法失信主体名单）、“中国政府采购网”（www.ccgp.gov.cn）查询：政府采购严重违法失信行为记录名单）；注：采购代理机构在开标当天将对所有参与本项目投标的供应商的信用情况（失信被执行人名单、重大税收违法案件当事人名单（现重大税收违法失信主体名单）、政府采购严重违法失信行为记录名单）进行查询、打印留存。若在开标当天查询到供应商有相关负面信息的，则该供应商为无效供应商。</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 单位负责人为同一人或者存在直接控股、管理关系的不同供应商，全部或者部分股东 (基金公司或者专业投资公司作为股东的除外) 为同一法人、其他组织或者自然人的不同供应商，同一自然人在两个以上供应商任职的不同供应商，不得参加同一合同项下的投标。【提供在“全国企业信用信息公示系统”中查询打印的相关材料 (需包含公司基本信息、股东信息及股权变更信息)】。</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三、获取采购文件</w:t>
      </w:r>
      <w:bookmarkEnd w:id="11"/>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lang w:eastAsia="zh-CN"/>
        </w:rPr>
      </w:pPr>
      <w:bookmarkStart w:id="12" w:name="_Toc17009"/>
      <w:r>
        <w:rPr>
          <w:rFonts w:hint="eastAsia" w:ascii="宋体" w:hAnsi="宋体" w:eastAsia="宋体" w:cs="宋体"/>
          <w:color w:val="auto"/>
          <w:sz w:val="21"/>
          <w:szCs w:val="21"/>
          <w:highlight w:val="none"/>
          <w:lang w:eastAsia="zh-CN"/>
        </w:rPr>
        <w:t>时间：202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w:t>
      </w:r>
      <w:r>
        <w:rPr>
          <w:rFonts w:hint="eastAsia"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月</w:t>
      </w:r>
      <w:r>
        <w:rPr>
          <w:rFonts w:hint="eastAsia" w:cs="宋体"/>
          <w:color w:val="auto"/>
          <w:sz w:val="21"/>
          <w:szCs w:val="21"/>
          <w:highlight w:val="none"/>
          <w:lang w:val="en-US" w:eastAsia="zh-CN"/>
        </w:rPr>
        <w:t>01日</w:t>
      </w:r>
      <w:r>
        <w:rPr>
          <w:rFonts w:hint="eastAsia" w:ascii="宋体" w:hAnsi="宋体" w:eastAsia="宋体" w:cs="宋体"/>
          <w:color w:val="auto"/>
          <w:sz w:val="21"/>
          <w:szCs w:val="21"/>
          <w:highlight w:val="none"/>
          <w:lang w:eastAsia="zh-CN"/>
        </w:rPr>
        <w:t>至202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w:t>
      </w:r>
      <w:r>
        <w:rPr>
          <w:rFonts w:hint="eastAsia"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月</w:t>
      </w:r>
      <w:r>
        <w:rPr>
          <w:rFonts w:hint="eastAsia" w:cs="宋体"/>
          <w:color w:val="auto"/>
          <w:sz w:val="21"/>
          <w:szCs w:val="21"/>
          <w:highlight w:val="none"/>
          <w:lang w:val="en-US" w:eastAsia="zh-CN"/>
        </w:rPr>
        <w:t>07</w:t>
      </w:r>
      <w:r>
        <w:rPr>
          <w:rFonts w:hint="eastAsia" w:ascii="宋体" w:hAnsi="宋体" w:eastAsia="宋体" w:cs="宋体"/>
          <w:color w:val="auto"/>
          <w:sz w:val="21"/>
          <w:szCs w:val="21"/>
          <w:highlight w:val="none"/>
          <w:lang w:eastAsia="zh-CN"/>
        </w:rPr>
        <w:t>日，每天上午00:00至12:00，下午12:00至23:59（北京时间，法定节假日除外）；</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地点：登录“郑州市公共资源交易中心网（https://zzggzy.zhengzhou.gov.cn/）”，凭企业CA锁下载磋商文件。</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方式：供应商凭CA密钥登录“郑州市公共资源交易中心网”点击“交易主体登录”下载所含格式（*.ZZZF）的采购文件及资料。</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售价：0元。</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四、响应文件提交</w:t>
      </w:r>
      <w:bookmarkEnd w:id="12"/>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bookmarkStart w:id="13" w:name="_Toc8392"/>
      <w:r>
        <w:rPr>
          <w:rFonts w:hint="eastAsia" w:ascii="宋体" w:hAnsi="宋体" w:eastAsia="宋体" w:cs="宋体"/>
          <w:color w:val="auto"/>
          <w:sz w:val="21"/>
          <w:szCs w:val="21"/>
          <w:highlight w:val="none"/>
        </w:rPr>
        <w:t>截止时间：202</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12</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cs="宋体"/>
          <w:color w:val="auto"/>
          <w:sz w:val="21"/>
          <w:szCs w:val="21"/>
          <w:highlight w:val="none"/>
          <w:lang w:val="en-US" w:eastAsia="zh-CN"/>
        </w:rPr>
        <w:t>10</w:t>
      </w:r>
      <w:r>
        <w:rPr>
          <w:rFonts w:hint="eastAsia" w:ascii="宋体" w:hAnsi="宋体" w:eastAsia="宋体" w:cs="宋体"/>
          <w:color w:val="auto"/>
          <w:sz w:val="21"/>
          <w:szCs w:val="21"/>
          <w:highlight w:val="none"/>
        </w:rPr>
        <w:t>时</w:t>
      </w:r>
      <w:r>
        <w:rPr>
          <w:rFonts w:hint="eastAsia" w:cs="宋体"/>
          <w:color w:val="auto"/>
          <w:sz w:val="21"/>
          <w:szCs w:val="21"/>
          <w:highlight w:val="none"/>
          <w:lang w:val="en-US" w:eastAsia="zh-CN"/>
        </w:rPr>
        <w:t>00</w:t>
      </w:r>
      <w:r>
        <w:rPr>
          <w:rFonts w:hint="eastAsia" w:ascii="宋体" w:hAnsi="宋体" w:eastAsia="宋体" w:cs="宋体"/>
          <w:color w:val="auto"/>
          <w:sz w:val="21"/>
          <w:szCs w:val="21"/>
          <w:highlight w:val="none"/>
        </w:rPr>
        <w:t>分（北京时间）</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地点：郑州市公共资源交易中心（https://zzggzy.zhengzhou.gov.cn/）电子交易平台</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五、响应文件开启</w:t>
      </w:r>
      <w:bookmarkEnd w:id="13"/>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bookmarkStart w:id="14" w:name="_Toc9614"/>
      <w:r>
        <w:rPr>
          <w:rFonts w:hint="eastAsia" w:ascii="宋体" w:hAnsi="宋体" w:eastAsia="宋体" w:cs="宋体"/>
          <w:color w:val="auto"/>
          <w:sz w:val="21"/>
          <w:szCs w:val="21"/>
          <w:highlight w:val="none"/>
        </w:rPr>
        <w:t>时间：202</w:t>
      </w: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年</w:t>
      </w:r>
      <w:r>
        <w:rPr>
          <w:rFonts w:hint="eastAsia" w:cs="宋体"/>
          <w:color w:val="auto"/>
          <w:sz w:val="21"/>
          <w:szCs w:val="21"/>
          <w:highlight w:val="none"/>
          <w:lang w:val="en-US" w:eastAsia="zh-CN"/>
        </w:rPr>
        <w:t>12</w:t>
      </w:r>
      <w:r>
        <w:rPr>
          <w:rFonts w:hint="eastAsia" w:ascii="宋体" w:hAnsi="宋体" w:eastAsia="宋体" w:cs="宋体"/>
          <w:color w:val="auto"/>
          <w:sz w:val="21"/>
          <w:szCs w:val="21"/>
          <w:highlight w:val="none"/>
        </w:rPr>
        <w:t>月</w:t>
      </w:r>
      <w:r>
        <w:rPr>
          <w:rFonts w:hint="eastAsia"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cs="宋体"/>
          <w:color w:val="auto"/>
          <w:sz w:val="21"/>
          <w:szCs w:val="21"/>
          <w:highlight w:val="none"/>
          <w:lang w:val="en-US" w:eastAsia="zh-CN"/>
        </w:rPr>
        <w:t>10</w:t>
      </w:r>
      <w:r>
        <w:rPr>
          <w:rFonts w:hint="eastAsia" w:ascii="宋体" w:hAnsi="宋体" w:eastAsia="宋体" w:cs="宋体"/>
          <w:color w:val="auto"/>
          <w:sz w:val="21"/>
          <w:szCs w:val="21"/>
          <w:highlight w:val="none"/>
        </w:rPr>
        <w:t>时</w:t>
      </w:r>
      <w:r>
        <w:rPr>
          <w:rFonts w:hint="eastAsia" w:cs="宋体"/>
          <w:color w:val="auto"/>
          <w:sz w:val="21"/>
          <w:szCs w:val="21"/>
          <w:highlight w:val="none"/>
          <w:lang w:val="en-US" w:eastAsia="zh-CN"/>
        </w:rPr>
        <w:t>00</w:t>
      </w:r>
      <w:r>
        <w:rPr>
          <w:rFonts w:hint="eastAsia" w:ascii="宋体" w:hAnsi="宋体" w:eastAsia="宋体" w:cs="宋体"/>
          <w:color w:val="auto"/>
          <w:sz w:val="21"/>
          <w:szCs w:val="21"/>
          <w:highlight w:val="none"/>
        </w:rPr>
        <w:t>分（北京时间）</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地点：郑州市公共资源交易中心门户网站远程开标大厅（https://zzggzy.zhengzhou.gov.cn/BidOpening）</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六、发布公告的媒介及招标公告期限</w:t>
      </w:r>
      <w:bookmarkEnd w:id="14"/>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bookmarkStart w:id="15" w:name="_Toc23884"/>
      <w:r>
        <w:rPr>
          <w:rFonts w:hint="eastAsia" w:ascii="宋体" w:hAnsi="宋体" w:eastAsia="宋体" w:cs="宋体"/>
          <w:color w:val="auto"/>
          <w:sz w:val="21"/>
          <w:szCs w:val="21"/>
          <w:highlight w:val="none"/>
        </w:rPr>
        <w:t>本次公告在《河南省政府采购网》、《郑州市政府采购网》、《高新区政府采购网》、《郑州市公共资源交易中心》上发布</w:t>
      </w:r>
      <w:r>
        <w:rPr>
          <w:rFonts w:hint="eastAsia" w:ascii="宋体" w:hAnsi="宋体" w:eastAsia="宋体" w:cs="宋体"/>
          <w:color w:val="auto"/>
          <w:sz w:val="21"/>
          <w:szCs w:val="21"/>
          <w:highlight w:val="none"/>
          <w:lang w:eastAsia="zh-CN"/>
        </w:rPr>
        <w:t>，招标公告期限为三个工作日</w:t>
      </w:r>
      <w:r>
        <w:rPr>
          <w:rFonts w:hint="eastAsia" w:ascii="宋体" w:hAnsi="宋体" w:eastAsia="宋体" w:cs="宋体"/>
          <w:color w:val="auto"/>
          <w:sz w:val="21"/>
          <w:szCs w:val="21"/>
          <w:highlight w:val="none"/>
        </w:rPr>
        <w:t>。</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rPr>
        <w:t>其他补充事宜</w:t>
      </w:r>
      <w:bookmarkEnd w:id="15"/>
      <w:bookmarkStart w:id="16" w:name="_Toc13201"/>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rPr>
        <w:t>.本项目采用不见面开标方式开标，供应商无需到交易中心现场参加开标会议。各供应商在响应文件递交截止时间前登陆郑州市公共资源交易中心门户网站远程开标大厅（http</w:t>
      </w:r>
      <w:r>
        <w:rPr>
          <w:rFonts w:hint="eastAsia" w:cs="宋体"/>
          <w:color w:val="auto"/>
          <w:sz w:val="21"/>
          <w:szCs w:val="21"/>
          <w:highlight w:val="none"/>
          <w:lang w:val="en-US" w:eastAsia="zh-CN"/>
        </w:rPr>
        <w:t>s</w:t>
      </w:r>
      <w:r>
        <w:rPr>
          <w:rFonts w:hint="eastAsia" w:ascii="宋体" w:hAnsi="宋体" w:eastAsia="宋体" w:cs="宋体"/>
          <w:color w:val="auto"/>
          <w:sz w:val="21"/>
          <w:szCs w:val="21"/>
          <w:highlight w:val="none"/>
        </w:rPr>
        <w:t>://zzggzy.zhengzhou.gov.cn/BidOpening）。所有供应商应提前30分钟登录“郑州市公共资源交易中心门户网站远程开标大厅”，先进行签到，其后应一直保持在线状态，保证能准时参加开标大会、响应文件的解密、现场答疑澄清、二轮报价等活动。</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各供应商可查看“关于实施在线磋商谈判的通知”中的不见面开标大厅操作手册-供应商（磋商谈判）、供应商多轮报价操作手册、在线磋商（谈判、澄清）操作手册（https://zzggzy.zhengzhou.gov.cn/tzgg/20220323/df8813b9-2939-4c3a-9e5b-1204b7c55441.html）。</w:t>
      </w:r>
    </w:p>
    <w:p>
      <w:pPr>
        <w:keepNext w:val="0"/>
        <w:keepLines w:val="0"/>
        <w:pageBreakBefore w:val="0"/>
        <w:widowControl w:val="0"/>
        <w:kinsoku/>
        <w:wordWrap w:val="0"/>
        <w:overflowPunct/>
        <w:topLinePunct w:val="0"/>
        <w:autoSpaceDE w:val="0"/>
        <w:autoSpaceDN w:val="0"/>
        <w:bidi w:val="0"/>
        <w:adjustRightInd/>
        <w:snapToGrid/>
        <w:spacing w:before="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八、</w:t>
      </w:r>
      <w:r>
        <w:rPr>
          <w:rFonts w:hint="eastAsia" w:ascii="宋体" w:hAnsi="宋体" w:eastAsia="宋体" w:cs="宋体"/>
          <w:b/>
          <w:bCs/>
          <w:color w:val="auto"/>
          <w:sz w:val="21"/>
          <w:szCs w:val="21"/>
          <w:highlight w:val="none"/>
        </w:rPr>
        <w:t>凡对本次招标提出</w:t>
      </w:r>
      <w:r>
        <w:rPr>
          <w:rFonts w:hint="eastAsia" w:ascii="宋体" w:hAnsi="宋体" w:eastAsia="宋体" w:cs="宋体"/>
          <w:b/>
          <w:bCs/>
          <w:color w:val="auto"/>
          <w:sz w:val="21"/>
          <w:szCs w:val="21"/>
          <w:highlight w:val="none"/>
          <w:lang w:eastAsia="zh-CN"/>
        </w:rPr>
        <w:t>疑</w:t>
      </w:r>
      <w:r>
        <w:rPr>
          <w:rFonts w:hint="eastAsia" w:ascii="宋体" w:hAnsi="宋体" w:eastAsia="宋体" w:cs="宋体"/>
          <w:b/>
          <w:bCs/>
          <w:color w:val="auto"/>
          <w:sz w:val="21"/>
          <w:szCs w:val="21"/>
          <w:highlight w:val="none"/>
        </w:rPr>
        <w:t>问，请按照以下方式联系</w:t>
      </w:r>
      <w:bookmarkEnd w:id="16"/>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采购人：郑州中学</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地址：河南省郑州市高新技术开发区樱花街2号</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联系人：张</w:t>
      </w:r>
      <w:r>
        <w:rPr>
          <w:rFonts w:hint="eastAsia" w:cs="宋体"/>
          <w:color w:val="auto"/>
          <w:sz w:val="21"/>
          <w:szCs w:val="21"/>
          <w:highlight w:val="none"/>
          <w:lang w:val="en-US" w:eastAsia="zh-CN"/>
        </w:rPr>
        <w:t>毅</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联系方式：</w:t>
      </w:r>
      <w:r>
        <w:rPr>
          <w:rFonts w:hint="eastAsia" w:cs="宋体"/>
          <w:color w:val="auto"/>
          <w:sz w:val="21"/>
          <w:szCs w:val="21"/>
          <w:highlight w:val="none"/>
          <w:lang w:eastAsia="zh-CN"/>
        </w:rPr>
        <w:t>17739779722</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名称：河南弘程工程咨询有限公司 </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地址：郑州市高新技术产业开发区瑞达路科学大道正弘高新数码港1号楼19楼413室</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联系人：郭淑迪、盛冲</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联系方式：0371-67916696</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项目联系人：郭淑迪、盛冲</w:t>
      </w:r>
    </w:p>
    <w:p>
      <w:pPr>
        <w:keepNext w:val="0"/>
        <w:keepLines w:val="0"/>
        <w:pageBreakBefore w:val="0"/>
        <w:widowControl w:val="0"/>
        <w:kinsoku/>
        <w:wordWrap w:val="0"/>
        <w:overflowPunct/>
        <w:topLinePunct w:val="0"/>
        <w:autoSpaceDE w:val="0"/>
        <w:autoSpaceDN w:val="0"/>
        <w:bidi w:val="0"/>
        <w:adjustRightInd/>
        <w:snapToGrid/>
        <w:spacing w:before="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联系方式：0371-67916696</w:t>
      </w:r>
    </w:p>
    <w:p>
      <w:pPr>
        <w:outlineLvl w:val="9"/>
        <w:rPr>
          <w:rFonts w:hint="eastAsia" w:ascii="宋体" w:hAnsi="宋体" w:eastAsia="宋体" w:cs="宋体"/>
          <w:color w:val="auto"/>
          <w:sz w:val="21"/>
          <w:szCs w:val="21"/>
          <w:highlight w:val="none"/>
        </w:rPr>
      </w:pPr>
    </w:p>
    <w:p>
      <w:pPr>
        <w:rPr>
          <w:rFonts w:hint="eastAsia"/>
        </w:rPr>
      </w:pPr>
    </w:p>
    <w:p>
      <w:pPr>
        <w:pageBreakBefore w:val="0"/>
        <w:kinsoku/>
        <w:wordWrap w:val="0"/>
        <w:overflowPunct/>
        <w:topLinePunct w:val="0"/>
        <w:bidi w:val="0"/>
        <w:ind w:firstLine="440" w:firstLineChars="200"/>
        <w:rPr>
          <w:rFonts w:ascii="宋体" w:hAnsi="宋体" w:eastAsia="宋体" w:cs="宋体"/>
          <w:color w:val="auto"/>
          <w:highlight w:val="none"/>
        </w:rPr>
      </w:pPr>
      <w:r>
        <w:rPr>
          <w:rFonts w:ascii="宋体" w:hAnsi="宋体" w:eastAsia="宋体" w:cs="宋体"/>
          <w:color w:val="auto"/>
          <w:highlight w:val="none"/>
        </w:rPr>
        <w:br w:type="page"/>
      </w:r>
    </w:p>
    <w:p>
      <w:pPr>
        <w:pStyle w:val="2"/>
        <w:pageBreakBefore w:val="0"/>
        <w:numPr>
          <w:ilvl w:val="0"/>
          <w:numId w:val="2"/>
        </w:numPr>
        <w:kinsoku/>
        <w:wordWrap w:val="0"/>
        <w:overflowPunct/>
        <w:topLinePunct w:val="0"/>
        <w:bidi w:val="0"/>
        <w:ind w:left="0" w:leftChars="0" w:firstLine="0" w:firstLineChars="0"/>
        <w:outlineLvl w:val="0"/>
        <w:rPr>
          <w:color w:val="auto"/>
          <w:highlight w:val="none"/>
        </w:rPr>
      </w:pPr>
      <w:bookmarkStart w:id="17" w:name="_Toc26285"/>
      <w:bookmarkStart w:id="18" w:name="_Toc6411"/>
      <w:bookmarkStart w:id="19" w:name="_Toc6233"/>
      <w:bookmarkStart w:id="20" w:name="_Toc17119"/>
      <w:r>
        <w:rPr>
          <w:rFonts w:hint="eastAsia"/>
          <w:color w:val="auto"/>
          <w:highlight w:val="none"/>
          <w:lang w:val="en-US" w:eastAsia="zh-CN"/>
        </w:rPr>
        <w:t xml:space="preserve"> </w:t>
      </w:r>
      <w:bookmarkStart w:id="21" w:name="_Toc9236"/>
      <w:bookmarkStart w:id="22" w:name="_Toc31448"/>
      <w:r>
        <w:rPr>
          <w:color w:val="auto"/>
          <w:highlight w:val="none"/>
        </w:rPr>
        <w:t>供应商须知</w:t>
      </w:r>
      <w:bookmarkEnd w:id="17"/>
      <w:bookmarkEnd w:id="18"/>
      <w:bookmarkEnd w:id="19"/>
      <w:bookmarkEnd w:id="20"/>
      <w:bookmarkEnd w:id="21"/>
      <w:bookmarkEnd w:id="22"/>
    </w:p>
    <w:p>
      <w:pPr>
        <w:pStyle w:val="2"/>
        <w:pageBreakBefore w:val="0"/>
        <w:kinsoku/>
        <w:wordWrap w:val="0"/>
        <w:overflowPunct/>
        <w:topLinePunct w:val="0"/>
        <w:bidi w:val="0"/>
        <w:ind w:left="0" w:leftChars="0" w:firstLine="0" w:firstLineChars="0"/>
        <w:rPr>
          <w:color w:val="auto"/>
          <w:sz w:val="32"/>
          <w:szCs w:val="32"/>
          <w:highlight w:val="none"/>
        </w:rPr>
      </w:pPr>
      <w:bookmarkStart w:id="23" w:name="_Toc22971"/>
      <w:r>
        <w:rPr>
          <w:color w:val="auto"/>
          <w:sz w:val="32"/>
          <w:szCs w:val="32"/>
          <w:highlight w:val="none"/>
        </w:rPr>
        <w:t>供应商知附表</w:t>
      </w:r>
      <w:bookmarkEnd w:id="23"/>
    </w:p>
    <w:tbl>
      <w:tblPr>
        <w:tblStyle w:val="26"/>
        <w:tblW w:w="92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0"/>
        <w:gridCol w:w="2280"/>
        <w:gridCol w:w="60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0"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99"/>
              <w:jc w:val="center"/>
              <w:textAlignment w:val="auto"/>
              <w:rPr>
                <w:rFonts w:hint="eastAsia" w:ascii="宋体" w:hAnsi="宋体" w:eastAsia="宋体" w:cs="宋体"/>
                <w:b/>
                <w:color w:val="auto"/>
                <w:sz w:val="21"/>
                <w:szCs w:val="21"/>
                <w:highlight w:val="none"/>
              </w:rPr>
            </w:pPr>
            <w:bookmarkStart w:id="24" w:name="供应商须知前附表"/>
            <w:bookmarkEnd w:id="24"/>
            <w:bookmarkStart w:id="25" w:name="1. 总则"/>
            <w:bookmarkEnd w:id="25"/>
            <w:bookmarkStart w:id="26" w:name="_Toc31499"/>
            <w:bookmarkStart w:id="27" w:name="_Toc20305"/>
            <w:bookmarkStart w:id="28" w:name="_Toc9616"/>
            <w:bookmarkStart w:id="29" w:name="_Toc26350"/>
            <w:r>
              <w:rPr>
                <w:rFonts w:hint="eastAsia" w:ascii="宋体" w:hAnsi="宋体" w:eastAsia="宋体" w:cs="宋体"/>
                <w:b/>
                <w:color w:val="auto"/>
                <w:w w:val="95"/>
                <w:sz w:val="21"/>
                <w:szCs w:val="21"/>
                <w:highlight w:val="none"/>
              </w:rPr>
              <w:t>条款号</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right="81"/>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条款名称</w:t>
            </w:r>
          </w:p>
        </w:tc>
        <w:tc>
          <w:tcPr>
            <w:tcW w:w="6017" w:type="dxa"/>
            <w:vAlign w:val="center"/>
          </w:tcPr>
          <w:p>
            <w:pPr>
              <w:pStyle w:val="46"/>
              <w:keepNext w:val="0"/>
              <w:keepLines w:val="0"/>
              <w:pageBreakBefore w:val="0"/>
              <w:widowControl w:val="0"/>
              <w:tabs>
                <w:tab w:val="left" w:pos="431"/>
                <w:tab w:val="left" w:pos="854"/>
                <w:tab w:val="left" w:pos="1274"/>
              </w:tabs>
              <w:kinsoku/>
              <w:wordWrap w:val="0"/>
              <w:overflowPunct/>
              <w:topLinePunct w:val="0"/>
              <w:autoSpaceDE w:val="0"/>
              <w:autoSpaceDN w:val="0"/>
              <w:bidi w:val="0"/>
              <w:adjustRightInd/>
              <w:snapToGrid/>
              <w:spacing w:before="0" w:line="440" w:lineRule="exact"/>
              <w:ind w:left="11"/>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列</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内</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right="83"/>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采购人：郑州中学</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地址：河南省郑州市高新技术开发区樱花街2号</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联系人：张</w:t>
            </w:r>
            <w:r>
              <w:rPr>
                <w:rFonts w:hint="eastAsia" w:cs="宋体"/>
                <w:color w:val="auto"/>
                <w:sz w:val="21"/>
                <w:szCs w:val="21"/>
                <w:highlight w:val="none"/>
                <w:lang w:val="en-US" w:eastAsia="zh-CN"/>
              </w:rPr>
              <w:t>毅</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联系方式：</w:t>
            </w:r>
            <w:r>
              <w:rPr>
                <w:rFonts w:hint="eastAsia" w:cs="宋体"/>
                <w:color w:val="auto"/>
                <w:sz w:val="21"/>
                <w:szCs w:val="21"/>
                <w:highlight w:val="none"/>
                <w:lang w:eastAsia="zh-CN"/>
              </w:rPr>
              <w:t>17739779722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lang w:val="en-US" w:eastAsia="zh-CN"/>
              </w:rPr>
              <w:t>.2</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017" w:type="dxa"/>
            <w:vAlign w:val="center"/>
          </w:tcPr>
          <w:p>
            <w:pPr>
              <w:pStyle w:val="46"/>
              <w:keepNext w:val="0"/>
              <w:keepLines w:val="0"/>
              <w:pageBreakBefore w:val="0"/>
              <w:widowControl w:val="0"/>
              <w:tabs>
                <w:tab w:val="left" w:pos="736"/>
              </w:tabs>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名称：河南弘程工程咨询有限公司 </w:t>
            </w:r>
          </w:p>
          <w:p>
            <w:pPr>
              <w:pStyle w:val="46"/>
              <w:keepNext w:val="0"/>
              <w:keepLines w:val="0"/>
              <w:pageBreakBefore w:val="0"/>
              <w:widowControl w:val="0"/>
              <w:tabs>
                <w:tab w:val="left" w:pos="736"/>
              </w:tabs>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地址：郑州市高新技术产业开发区瑞达路科学大道正弘高新数码港1号楼19楼413室</w:t>
            </w:r>
          </w:p>
          <w:p>
            <w:pPr>
              <w:pStyle w:val="46"/>
              <w:keepNext w:val="0"/>
              <w:keepLines w:val="0"/>
              <w:pageBreakBefore w:val="0"/>
              <w:widowControl w:val="0"/>
              <w:tabs>
                <w:tab w:val="left" w:pos="736"/>
              </w:tabs>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联系人：郭淑迪、盛冲</w:t>
            </w:r>
          </w:p>
          <w:p>
            <w:pPr>
              <w:pStyle w:val="46"/>
              <w:keepNext w:val="0"/>
              <w:keepLines w:val="0"/>
              <w:pageBreakBefore w:val="0"/>
              <w:widowControl w:val="0"/>
              <w:tabs>
                <w:tab w:val="left" w:pos="736"/>
              </w:tabs>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联系方式：0371-67916696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2.3</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both"/>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郑州中学大数据智能教学终端设备采购项目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w:t>
            </w:r>
            <w:r>
              <w:rPr>
                <w:rFonts w:hint="eastAsia" w:ascii="宋体" w:hAnsi="宋体" w:eastAsia="宋体" w:cs="宋体"/>
                <w:color w:val="auto"/>
                <w:sz w:val="21"/>
                <w:szCs w:val="21"/>
                <w:highlight w:val="none"/>
                <w:lang w:eastAsia="zh-CN"/>
              </w:rPr>
              <w:t>范围</w:t>
            </w:r>
            <w:r>
              <w:rPr>
                <w:rFonts w:hint="eastAsia" w:ascii="宋体" w:hAnsi="宋体" w:eastAsia="宋体" w:cs="宋体"/>
                <w:color w:val="auto"/>
                <w:sz w:val="21"/>
                <w:szCs w:val="21"/>
                <w:highlight w:val="none"/>
              </w:rPr>
              <w:t>及包段划分</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包段划分：本项目共分</w:t>
            </w:r>
            <w:r>
              <w:rPr>
                <w:rFonts w:hint="eastAsia"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个包段。</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磋商范围：满足磋商文件第五章包含的所有内容。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right="86"/>
              <w:jc w:val="center"/>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bidi="zh-CN"/>
              </w:rPr>
              <w:t>供货及安装期</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30</w:t>
            </w:r>
            <w:r>
              <w:rPr>
                <w:rFonts w:hint="eastAsia" w:ascii="宋体" w:hAnsi="宋体" w:eastAsia="宋体" w:cs="宋体"/>
                <w:color w:val="auto"/>
                <w:sz w:val="21"/>
                <w:szCs w:val="21"/>
                <w:highlight w:val="none"/>
                <w:lang w:val="en-US" w:eastAsia="zh-CN"/>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质量要求</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eastAsia="zh-CN"/>
              </w:rPr>
              <w:t>符合国家或行业规定的合格标准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1"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供应商资质条件和能力</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1、满足《中华人民共和国政府采购法》第二十二条规定； </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2、落实政府采购政策满足的资格要求： </w:t>
            </w:r>
            <w:r>
              <w:rPr>
                <w:rFonts w:hint="eastAsia" w:cs="宋体"/>
                <w:color w:val="auto"/>
                <w:sz w:val="21"/>
                <w:szCs w:val="21"/>
                <w:highlight w:val="none"/>
                <w:lang w:val="en-US" w:eastAsia="zh-CN"/>
              </w:rPr>
              <w:t>无</w:t>
            </w:r>
            <w:r>
              <w:rPr>
                <w:rFonts w:hint="eastAsia" w:ascii="宋体" w:hAnsi="宋体" w:eastAsia="宋体" w:cs="宋体"/>
                <w:color w:val="auto"/>
                <w:sz w:val="21"/>
                <w:szCs w:val="21"/>
                <w:highlight w:val="none"/>
                <w:lang w:val="en-US" w:eastAsia="zh-CN"/>
              </w:rPr>
              <w:t>。</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3、本项目的特定资格要求：</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 根据《关于在政府采购活动中查询及使用信用记录有关问题的通知》(财库[2016]125号)和豫财购[2016]15号的规定，对列入失信被执行人名单、重大税收违法案件当事人名单（现重大税收违法失信主体名单）、政府采购严重违法失信行为记录名单的企业，拒绝参与本项目政府采购活动（查询渠道：“中国执行信息公开网（zxgk.court.gov.cn/shixin）”查询：失信被执行人名单；“信用中国”网站（www.creditchina.gov.cn）查询：重大税收违法案件当事人名单（现重大税收违法失信主体名单）、“中国政府采购网”（www.ccgp.gov.cn）查询：政府采购严重违法失信行为记录名单）；注：采购代理机构在开标当天将对所有参与本项目投标的供应商的信用情况（失信被执行人名单、重大税收违法案件当事人名单（现重大税收违法失信主体名单）、政府采购严重违法失信行为记录名单）进行查询、打印留存。若在开标当天查询到供应商有相关负面信息的，则该供应商为无效供应商。</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 单位负责人为同一人或者存在直接控股、管理关系的不同供应商，全部或者部分股东 (基金公司或者专业投资公司作为股东的除外) 为同一法人、其他组织或者自然人的不同供应商，同一自然人在两个以上供应商任职的不同供应商，不得参加同一合同项下的投标。【提供在“全国企业信用信息公示系统”中查询打印的相关材料 (需包含公司基本信息、股东信息及股权变更信息)】。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1.5.2</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right="-15"/>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right="-15"/>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磋商预备会</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不召开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15"/>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供应商提出问题的截止时间</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right="-1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递交响应文件截止之日7天前，将需要答疑的问题在郑州市公共资源交易中心交易平台上进行提问，要求采购人对采购文件予以澄清。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40"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1.10.3</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right="-15"/>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采购人书面澄清的时间</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right="-1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leftChars="0" w:right="86"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leftChars="0" w:right="83"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构成磋商文件的其他材料</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leftChars="0" w:right="96" w:right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除磋商文件外，采购人在磋商期间发出的澄清、修改、补充、补遗和其它有效正式函件等内容均是磋商文件的组成部分</w:t>
            </w:r>
            <w:r>
              <w:rPr>
                <w:rFonts w:hint="eastAsia" w:cs="宋体"/>
                <w:color w:val="auto"/>
                <w:sz w:val="21"/>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p>
        </w:tc>
        <w:tc>
          <w:tcPr>
            <w:tcW w:w="2280" w:type="dxa"/>
            <w:vAlign w:val="center"/>
          </w:tcPr>
          <w:p>
            <w:pPr>
              <w:pStyle w:val="46"/>
              <w:keepNext w:val="0"/>
              <w:keepLines w:val="0"/>
              <w:pageBreakBefore w:val="0"/>
              <w:widowControl w:val="0"/>
              <w:tabs>
                <w:tab w:val="left" w:pos="440"/>
              </w:tabs>
              <w:kinsoku/>
              <w:wordWrap w:val="0"/>
              <w:overflowPunct/>
              <w:topLinePunct w:val="0"/>
              <w:autoSpaceDE w:val="0"/>
              <w:autoSpaceDN w:val="0"/>
              <w:bidi w:val="0"/>
              <w:adjustRightInd/>
              <w:snapToGrid/>
              <w:spacing w:before="0" w:line="440" w:lineRule="exact"/>
              <w:ind w:right="105"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供应商要求澄清磋商文件的截止时间</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递交响应文件截止之日</w:t>
            </w:r>
            <w:r>
              <w:rPr>
                <w:rFonts w:hint="eastAsia"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rPr>
              <w:t>天前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leftChars="0" w:right="86"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响应文件递交截止时间</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u w:val="single"/>
              </w:rPr>
              <w:t>202</w:t>
            </w:r>
            <w:r>
              <w:rPr>
                <w:rFonts w:hint="eastAsia" w:cs="宋体"/>
                <w:b/>
                <w:color w:val="auto"/>
                <w:sz w:val="21"/>
                <w:szCs w:val="21"/>
                <w:highlight w:val="none"/>
                <w:u w:val="single"/>
                <w:lang w:val="en-US" w:eastAsia="zh-CN"/>
              </w:rPr>
              <w:t>3</w:t>
            </w:r>
            <w:r>
              <w:rPr>
                <w:rFonts w:hint="eastAsia" w:ascii="宋体" w:hAnsi="宋体" w:eastAsia="宋体" w:cs="宋体"/>
                <w:b/>
                <w:color w:val="auto"/>
                <w:sz w:val="21"/>
                <w:szCs w:val="21"/>
                <w:highlight w:val="none"/>
              </w:rPr>
              <w:t xml:space="preserve"> 年</w:t>
            </w:r>
            <w:r>
              <w:rPr>
                <w:rFonts w:hint="eastAsia" w:ascii="宋体" w:hAnsi="宋体" w:eastAsia="宋体" w:cs="宋体"/>
                <w:b/>
                <w:color w:val="auto"/>
                <w:sz w:val="21"/>
                <w:szCs w:val="21"/>
                <w:highlight w:val="none"/>
                <w:u w:val="single"/>
                <w:lang w:val="en-US" w:eastAsia="zh-CN"/>
              </w:rPr>
              <w:t xml:space="preserve"> </w:t>
            </w:r>
            <w:r>
              <w:rPr>
                <w:rFonts w:hint="eastAsia" w:cs="宋体"/>
                <w:b/>
                <w:color w:val="auto"/>
                <w:sz w:val="21"/>
                <w:szCs w:val="21"/>
                <w:highlight w:val="none"/>
                <w:u w:val="single"/>
                <w:lang w:val="en-US" w:eastAsia="zh-CN"/>
              </w:rPr>
              <w:t xml:space="preserve">12 </w:t>
            </w:r>
            <w:r>
              <w:rPr>
                <w:rFonts w:hint="eastAsia" w:ascii="宋体" w:hAnsi="宋体" w:eastAsia="宋体" w:cs="宋体"/>
                <w:b/>
                <w:color w:val="auto"/>
                <w:sz w:val="21"/>
                <w:szCs w:val="21"/>
                <w:highlight w:val="none"/>
              </w:rPr>
              <w:t>月</w:t>
            </w:r>
            <w:r>
              <w:rPr>
                <w:rFonts w:hint="eastAsia" w:ascii="宋体" w:hAnsi="宋体" w:eastAsia="宋体" w:cs="宋体"/>
                <w:b/>
                <w:color w:val="auto"/>
                <w:sz w:val="21"/>
                <w:szCs w:val="21"/>
                <w:highlight w:val="none"/>
                <w:u w:val="single"/>
                <w:lang w:val="en-US" w:eastAsia="zh-CN"/>
              </w:rPr>
              <w:t xml:space="preserve"> </w:t>
            </w:r>
            <w:r>
              <w:rPr>
                <w:rFonts w:hint="eastAsia" w:cs="宋体"/>
                <w:b/>
                <w:color w:val="auto"/>
                <w:sz w:val="21"/>
                <w:szCs w:val="21"/>
                <w:highlight w:val="none"/>
                <w:u w:val="single"/>
                <w:lang w:val="en-US" w:eastAsia="zh-CN"/>
              </w:rPr>
              <w:t xml:space="preserve"> 11</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日</w:t>
            </w:r>
            <w:r>
              <w:rPr>
                <w:rFonts w:hint="eastAsia" w:ascii="宋体" w:hAnsi="宋体" w:eastAsia="宋体" w:cs="宋体"/>
                <w:b/>
                <w:color w:val="auto"/>
                <w:sz w:val="21"/>
                <w:szCs w:val="21"/>
                <w:highlight w:val="none"/>
                <w:u w:val="single"/>
                <w:lang w:val="en-US" w:eastAsia="zh-CN"/>
              </w:rPr>
              <w:t xml:space="preserve"> </w:t>
            </w:r>
            <w:r>
              <w:rPr>
                <w:rFonts w:hint="eastAsia" w:cs="宋体"/>
                <w:b/>
                <w:color w:val="auto"/>
                <w:sz w:val="21"/>
                <w:szCs w:val="21"/>
                <w:highlight w:val="none"/>
                <w:u w:val="single"/>
                <w:lang w:val="en-US" w:eastAsia="zh-CN"/>
              </w:rPr>
              <w:t>10</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时</w:t>
            </w:r>
            <w:r>
              <w:rPr>
                <w:rFonts w:hint="eastAsia" w:ascii="宋体" w:hAnsi="宋体" w:eastAsia="宋体" w:cs="宋体"/>
                <w:b/>
                <w:color w:val="auto"/>
                <w:sz w:val="21"/>
                <w:szCs w:val="21"/>
                <w:highlight w:val="none"/>
                <w:u w:val="single"/>
              </w:rPr>
              <w:t xml:space="preserve"> </w:t>
            </w:r>
            <w:r>
              <w:rPr>
                <w:rFonts w:hint="eastAsia" w:cs="宋体"/>
                <w:b/>
                <w:color w:val="auto"/>
                <w:sz w:val="21"/>
                <w:szCs w:val="21"/>
                <w:highlight w:val="none"/>
                <w:u w:val="single"/>
                <w:lang w:val="en-US" w:eastAsia="zh-CN"/>
              </w:rPr>
              <w:t xml:space="preserve">00 </w:t>
            </w:r>
            <w:r>
              <w:rPr>
                <w:rFonts w:hint="eastAsia" w:ascii="宋体" w:hAnsi="宋体" w:eastAsia="宋体" w:cs="宋体"/>
                <w:b/>
                <w:color w:val="auto"/>
                <w:sz w:val="21"/>
                <w:szCs w:val="21"/>
                <w:highlight w:val="none"/>
              </w:rPr>
              <w:t>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leftChars="0" w:right="83"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构成响应文件的其他材料</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leftChars="0" w:right="0" w:right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供应商认为需要提交的其他证明材料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leftChars="0" w:right="86"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leftChars="0" w:right="0" w:rightChars="0"/>
              <w:jc w:val="left"/>
              <w:textAlignment w:val="auto"/>
              <w:rPr>
                <w:rFonts w:hint="eastAsia"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60 日历天（响应文件截止之日起）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leftChars="0" w:right="86"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08"/>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根据《河南省财政厅关于优化政府采购营商环境有关问题的通知》【豫财购〔2019〕4号】文件的要求，本项目不收取磋商保证金。供应商须在响应文件中以“磋商承诺函”的形式替代磋商保证金。</w:t>
            </w:r>
            <w:r>
              <w:rPr>
                <w:rFonts w:hint="eastAsia" w:ascii="宋体" w:hAnsi="宋体" w:eastAsia="宋体" w:cs="宋体"/>
                <w:b/>
                <w:bCs/>
                <w:color w:val="auto"/>
                <w:sz w:val="21"/>
                <w:szCs w:val="21"/>
                <w:highlight w:val="none"/>
              </w:rPr>
              <w:t>对于未能提供“磋商承诺函”的响应文件，将视为不响应磋商文件而予以拒绝，“磋商承诺函”的格式详见磋商文件第六章。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7" w:hRule="atLeast"/>
        </w:trPr>
        <w:tc>
          <w:tcPr>
            <w:tcW w:w="960" w:type="dxa"/>
            <w:vAlign w:val="center"/>
          </w:tcPr>
          <w:p>
            <w:pPr>
              <w:keepNext w:val="0"/>
              <w:keepLines w:val="0"/>
              <w:pageBreakBefore w:val="0"/>
              <w:kinsoku/>
              <w:wordWrap w:val="0"/>
              <w:overflowPunct/>
              <w:topLinePunct w:val="0"/>
              <w:bidi w:val="0"/>
              <w:adjustRightInd/>
              <w:spacing w:line="440" w:lineRule="exact"/>
              <w:ind w:left="0" w:leftChars="0" w:right="0" w:rightChars="0"/>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w:t>
            </w:r>
          </w:p>
        </w:tc>
        <w:tc>
          <w:tcPr>
            <w:tcW w:w="2280" w:type="dxa"/>
            <w:vAlign w:val="center"/>
          </w:tcPr>
          <w:p>
            <w:pPr>
              <w:keepNext w:val="0"/>
              <w:keepLines w:val="0"/>
              <w:pageBreakBefore w:val="0"/>
              <w:kinsoku/>
              <w:wordWrap w:val="0"/>
              <w:overflowPunct/>
              <w:topLinePunct w:val="0"/>
              <w:bidi w:val="0"/>
              <w:adjustRightInd/>
              <w:spacing w:line="44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资格审查资料的</w:t>
            </w:r>
          </w:p>
          <w:p>
            <w:pPr>
              <w:keepNext w:val="0"/>
              <w:keepLines w:val="0"/>
              <w:pageBreakBefore w:val="0"/>
              <w:kinsoku/>
              <w:wordWrap w:val="0"/>
              <w:overflowPunct/>
              <w:topLinePunct w:val="0"/>
              <w:bidi w:val="0"/>
              <w:adjustRightInd/>
              <w:spacing w:line="440" w:lineRule="exact"/>
              <w:ind w:left="0" w:leftChars="0" w:right="0" w:right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特殊要求</w:t>
            </w:r>
          </w:p>
        </w:tc>
        <w:tc>
          <w:tcPr>
            <w:tcW w:w="6017" w:type="dxa"/>
            <w:vAlign w:val="center"/>
          </w:tcPr>
          <w:p>
            <w:pPr>
              <w:keepNext w:val="0"/>
              <w:keepLines w:val="0"/>
              <w:pageBreakBefore w:val="0"/>
              <w:kinsoku/>
              <w:wordWrap w:val="0"/>
              <w:overflowPunct/>
              <w:topLinePunct w:val="0"/>
              <w:bidi w:val="0"/>
              <w:adjustRightInd/>
              <w:spacing w:line="440" w:lineRule="exact"/>
              <w:ind w:left="0" w:leftChars="0" w:right="0" w:rightChars="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leftChars="0" w:right="86"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leftChars="0" w:right="86"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备选磋商方案</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6"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leftChars="0" w:right="86"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签字盖章要求</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（1）所有要求供应商加盖公章的地方都应用供应商单位的CA印章。</w:t>
            </w:r>
          </w:p>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有要求法定代表人或其委托代理人签字（或盖章）的地方都须加盖法定代表人或其委托代理人的CA印章。（若未加盖法定代表人或其委托代理人CA印章，可在纸质文件上签字（或盖章）后扫描上传生成上传所需的响应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7"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3.7.4</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加密的电子响应文件(.ZZTF 格式)，投标截止时间前通过“郑州市公共资源交易中心(https://zzggzy.zhengzhou.gov.cn)”系统上传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right="86"/>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响应文件</w:t>
            </w:r>
            <w:r>
              <w:rPr>
                <w:rFonts w:hint="eastAsia" w:ascii="宋体" w:hAnsi="宋体" w:eastAsia="宋体" w:cs="宋体"/>
                <w:color w:val="auto"/>
                <w:sz w:val="21"/>
                <w:szCs w:val="21"/>
                <w:highlight w:val="none"/>
                <w:lang w:eastAsia="zh-CN"/>
              </w:rPr>
              <w:t>的递交</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郑州市公共资源交易中心（https://zzggzy.zhengzhou.gov.cn/）电子交易平台。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2"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是否退还响应文件</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638" w:leftChars="0" w:right="0" w:rightChars="0" w:hanging="638" w:hangingChars="304"/>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磋商时间和地点</w:t>
            </w:r>
          </w:p>
        </w:tc>
        <w:tc>
          <w:tcPr>
            <w:tcW w:w="6017" w:type="dxa"/>
            <w:vAlign w:val="center"/>
          </w:tcPr>
          <w:p>
            <w:pPr>
              <w:ind w:firstLine="0" w:firstLineChars="0"/>
              <w:rPr>
                <w:rFonts w:hint="eastAsia"/>
                <w:bCs/>
                <w:color w:val="auto"/>
                <w:szCs w:val="21"/>
                <w:highlight w:val="none"/>
              </w:rPr>
            </w:pPr>
            <w:r>
              <w:rPr>
                <w:rFonts w:hint="eastAsia" w:ascii="宋体" w:hAnsi="宋体" w:cs="宋体"/>
                <w:color w:val="auto"/>
                <w:szCs w:val="21"/>
              </w:rPr>
              <w:t>磋</w:t>
            </w:r>
            <w:r>
              <w:rPr>
                <w:rFonts w:hint="eastAsia"/>
                <w:bCs/>
                <w:color w:val="auto"/>
                <w:szCs w:val="21"/>
              </w:rPr>
              <w:t>商时间：</w:t>
            </w:r>
            <w:r>
              <w:rPr>
                <w:rFonts w:hint="eastAsia" w:ascii="宋体" w:hAnsi="宋体" w:cs="宋体"/>
                <w:color w:val="auto"/>
                <w:szCs w:val="21"/>
                <w:highlight w:val="none"/>
              </w:rPr>
              <w:t>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rPr>
              <w:t>日</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时</w:t>
            </w:r>
            <w:r>
              <w:rPr>
                <w:rFonts w:hint="eastAsia" w:ascii="宋体" w:hAnsi="宋体" w:eastAsia="宋体" w:cs="宋体"/>
                <w:color w:val="auto"/>
                <w:highlight w:val="none"/>
                <w:lang w:val="en-US" w:eastAsia="zh-CN"/>
              </w:rPr>
              <w:t>00</w:t>
            </w:r>
            <w:r>
              <w:rPr>
                <w:rFonts w:hint="eastAsia" w:ascii="宋体" w:hAnsi="宋体" w:eastAsia="宋体" w:cs="宋体"/>
                <w:color w:val="auto"/>
                <w:highlight w:val="none"/>
              </w:rPr>
              <w:t>分</w:t>
            </w:r>
            <w:r>
              <w:rPr>
                <w:rFonts w:hint="eastAsia" w:ascii="宋体" w:hAnsi="宋体" w:cs="宋体"/>
                <w:color w:val="auto"/>
                <w:highlight w:val="none"/>
              </w:rPr>
              <w:t>（</w:t>
            </w:r>
            <w:r>
              <w:rPr>
                <w:rFonts w:hint="eastAsia"/>
                <w:bCs/>
                <w:color w:val="auto"/>
                <w:szCs w:val="21"/>
                <w:highlight w:val="none"/>
              </w:rPr>
              <w:t>北京时间）</w:t>
            </w:r>
          </w:p>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w w:val="99"/>
                <w:sz w:val="21"/>
                <w:szCs w:val="21"/>
                <w:highlight w:val="none"/>
              </w:rPr>
            </w:pPr>
            <w:r>
              <w:rPr>
                <w:rFonts w:hint="eastAsia"/>
                <w:bCs/>
                <w:color w:val="auto"/>
                <w:szCs w:val="21"/>
                <w:highlight w:val="none"/>
              </w:rPr>
              <w:t>磋商地点：郑州市公共资源交易中心六楼</w:t>
            </w:r>
            <w:r>
              <w:rPr>
                <w:rFonts w:hint="eastAsia" w:ascii="宋体" w:hAnsi="宋体" w:eastAsia="宋体" w:cs="宋体"/>
                <w:bCs/>
                <w:color w:val="auto"/>
                <w:szCs w:val="21"/>
                <w:highlight w:val="none"/>
                <w:lang w:val="en-US" w:eastAsia="zh-CN"/>
              </w:rPr>
              <w:t>B</w:t>
            </w:r>
            <w:r>
              <w:rPr>
                <w:rFonts w:hint="eastAsia"/>
                <w:bCs/>
                <w:color w:val="auto"/>
                <w:szCs w:val="21"/>
                <w:highlight w:val="none"/>
              </w:rPr>
              <w:t>区第</w:t>
            </w:r>
            <w:r>
              <w:rPr>
                <w:rFonts w:hint="eastAsia"/>
                <w:bCs/>
                <w:color w:val="auto"/>
                <w:szCs w:val="21"/>
                <w:highlight w:val="none"/>
                <w:lang w:val="en-US" w:eastAsia="zh-CN"/>
              </w:rPr>
              <w:t>十二</w:t>
            </w:r>
            <w:r>
              <w:rPr>
                <w:rFonts w:hint="eastAsia"/>
                <w:bCs/>
                <w:color w:val="auto"/>
                <w:szCs w:val="21"/>
                <w:highlight w:val="none"/>
              </w:rPr>
              <w:t>开标室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磋商小组的组建</w:t>
            </w:r>
          </w:p>
        </w:tc>
        <w:tc>
          <w:tcPr>
            <w:tcW w:w="6017" w:type="dxa"/>
            <w:vAlign w:val="center"/>
          </w:tcPr>
          <w:p>
            <w:pPr>
              <w:keepNext w:val="0"/>
              <w:keepLines w:val="0"/>
              <w:pageBreakBefore w:val="0"/>
              <w:kinsoku/>
              <w:wordWrap w:val="0"/>
              <w:overflowPunct/>
              <w:topLinePunct w:val="0"/>
              <w:bidi w:val="0"/>
              <w:adjustRightInd/>
              <w:spacing w:line="440" w:lineRule="exact"/>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磋商小组构成：</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其中采购人代表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有关经济、技术专家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rPr>
              <w:t xml:space="preserve">人； </w:t>
            </w:r>
          </w:p>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专家确定方式：磋商</w:t>
            </w:r>
            <w:r>
              <w:rPr>
                <w:rFonts w:hint="eastAsia" w:ascii="宋体" w:hAnsi="宋体" w:eastAsia="宋体" w:cs="宋体"/>
                <w:color w:val="auto"/>
                <w:kern w:val="0"/>
                <w:sz w:val="21"/>
                <w:szCs w:val="21"/>
                <w:highlight w:val="none"/>
                <w:lang w:eastAsia="zh-CN"/>
              </w:rPr>
              <w:t>前全部</w:t>
            </w:r>
            <w:r>
              <w:rPr>
                <w:rFonts w:hint="eastAsia" w:ascii="宋体" w:hAnsi="宋体" w:eastAsia="宋体" w:cs="宋体"/>
                <w:color w:val="auto"/>
                <w:kern w:val="0"/>
                <w:sz w:val="21"/>
                <w:szCs w:val="21"/>
                <w:highlight w:val="none"/>
              </w:rPr>
              <w:t>从政府采购专家库中随机抽取。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atLeast"/>
        </w:trPr>
        <w:tc>
          <w:tcPr>
            <w:tcW w:w="960" w:type="dxa"/>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w:t>
            </w:r>
          </w:p>
        </w:tc>
        <w:tc>
          <w:tcPr>
            <w:tcW w:w="2280"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90" w:right="86"/>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是否授权磋商小组确定成交人</w:t>
            </w:r>
          </w:p>
        </w:tc>
        <w:tc>
          <w:tcPr>
            <w:tcW w:w="6017" w:type="dxa"/>
            <w:vAlign w:val="center"/>
          </w:tcPr>
          <w:p>
            <w:pPr>
              <w:keepNext w:val="0"/>
              <w:keepLines w:val="0"/>
              <w:pageBreakBefore w:val="0"/>
              <w:widowControl/>
              <w:suppressLineNumbers w:val="0"/>
              <w:kinsoku/>
              <w:wordWrap w:val="0"/>
              <w:overflowPunct/>
              <w:topLinePunct w:val="0"/>
              <w:bidi w:val="0"/>
              <w:adjustRightInd/>
              <w:spacing w:line="440" w:lineRule="exact"/>
              <w:jc w:val="left"/>
              <w:rPr>
                <w:rFonts w:hint="eastAsia"/>
                <w:color w:val="auto"/>
                <w:highlight w:val="none"/>
              </w:rPr>
            </w:pPr>
            <w:r>
              <w:rPr>
                <w:rFonts w:hint="eastAsia"/>
                <w:color w:val="auto"/>
                <w:highlight w:val="none"/>
              </w:rPr>
              <w:t>否；推荐的成交候选人数：3名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9257" w:type="dxa"/>
            <w:gridSpan w:val="3"/>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3406" w:rightChars="0"/>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10.</w:t>
            </w:r>
            <w:r>
              <w:rPr>
                <w:rFonts w:hint="eastAsia" w:ascii="宋体" w:hAnsi="宋体" w:eastAsia="宋体" w:cs="宋体"/>
                <w:b/>
                <w:color w:val="auto"/>
                <w:sz w:val="21"/>
                <w:szCs w:val="21"/>
                <w:highlight w:val="none"/>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10.1</w:t>
            </w:r>
          </w:p>
        </w:tc>
        <w:tc>
          <w:tcPr>
            <w:tcW w:w="2280" w:type="dxa"/>
            <w:tcBorders>
              <w:lef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val="0"/>
              <w:spacing w:before="0" w:line="440" w:lineRule="exact"/>
              <w:ind w:left="0" w:leftChars="0" w:right="0" w:rightChars="0"/>
              <w:jc w:val="center"/>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代理服务费</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1、供应商准备和参加投标活动发生的费用自理。在任何情况下采购人和采购代理机构对上述费用均不承担任何责任。</w:t>
            </w:r>
          </w:p>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2、交纳时间：领取《成交通知书》前交纳。</w:t>
            </w:r>
          </w:p>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3、招标代理服务费由成交人领取中标通知书时缴纳，参照河南省招标投标协会豫招协【2023】002号文中的招标代理服务收费标准计取（代理服务费不足1万元的，按1万元收取），由成交人支付。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0"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10.2</w:t>
            </w:r>
          </w:p>
        </w:tc>
        <w:tc>
          <w:tcPr>
            <w:tcW w:w="2280" w:type="dxa"/>
            <w:tcBorders>
              <w:lef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磋商文件费</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根据《财政部关于促进政府采购公平竞争优化营商环境的通知》【财库〔2019〕38号】文件的要求，本项目不收取磋商文件费。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10.3</w:t>
            </w:r>
          </w:p>
        </w:tc>
        <w:tc>
          <w:tcPr>
            <w:tcW w:w="2280" w:type="dxa"/>
            <w:tcBorders>
              <w:lef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0" w:rightChars="0"/>
              <w:jc w:val="center"/>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解释权</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构成本磋商文件的各个组成文件应互为解释，互为说明；如有不明确或不一致，按磋商公告、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atLeast"/>
        </w:trPr>
        <w:tc>
          <w:tcPr>
            <w:tcW w:w="960" w:type="dxa"/>
            <w:tcBorders>
              <w:righ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bidi="zh-CN"/>
              </w:rPr>
              <w:t>0.4</w:t>
            </w:r>
          </w:p>
        </w:tc>
        <w:tc>
          <w:tcPr>
            <w:tcW w:w="2280" w:type="dxa"/>
            <w:tcBorders>
              <w:lef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远程开标说明</w:t>
            </w:r>
          </w:p>
        </w:tc>
        <w:tc>
          <w:tcPr>
            <w:tcW w:w="6017" w:type="dxa"/>
            <w:vAlign w:val="center"/>
          </w:tcPr>
          <w:p>
            <w:pPr>
              <w:keepNext w:val="0"/>
              <w:keepLines w:val="0"/>
              <w:pageBreakBefore w:val="0"/>
              <w:kinsoku/>
              <w:wordWrap w:val="0"/>
              <w:overflowPunct/>
              <w:topLinePunct w:val="0"/>
              <w:bidi w:val="0"/>
              <w:adjustRightInd/>
              <w:spacing w:line="44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实行电子开评标，获取竞争性磋商文件后，请各供应商在“郑州市公共资源交易中心网站（https://zzggzy.zhengzhou.gov.cn）”首页“办事指南”栏目中下载最新版本的“新点投标文件制作软件（河南省版）”，安装工具软件后，使用“文件查看工具”打开竞争性磋商文件认真阅读。制作电子响应文件时必须使用“新点投标文件制作软件（河南省版）。</w:t>
            </w:r>
          </w:p>
          <w:p>
            <w:pPr>
              <w:keepNext w:val="0"/>
              <w:keepLines w:val="0"/>
              <w:pageBreakBefore w:val="0"/>
              <w:kinsoku/>
              <w:wordWrap w:val="0"/>
              <w:overflowPunct/>
              <w:topLinePunct w:val="0"/>
              <w:bidi w:val="0"/>
              <w:adjustRightInd/>
              <w:spacing w:line="44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采用不见面开标方式开标，供应商无需到交易中心现场参加开标会议。各供应商在响应文件递交截止时间前登陆郑州市公共资源交易中心门户网站远程开标大厅https://zzggzy.zhengzhou.gov.cn/BidOpening/）。所有供应商应提前30分钟登录“郑州市公共资源交易中心门户网站远程开标大厅”，先进行签到，其后应一直保持在线状态，保证能准时参加开标大会、响应文件的解密、现场答疑澄清、二轮报价等活动。。 </w:t>
            </w:r>
          </w:p>
          <w:p>
            <w:pPr>
              <w:keepNext w:val="0"/>
              <w:keepLines w:val="0"/>
              <w:pageBreakBefore w:val="0"/>
              <w:kinsoku/>
              <w:wordWrap w:val="0"/>
              <w:overflowPunct/>
              <w:topLinePunct w:val="0"/>
              <w:bidi w:val="0"/>
              <w:adjustRightInd/>
              <w:spacing w:line="44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各供应商可查看“关于实施在线磋商谈判的通知”中的不见面开标大厅操作手册-供应商（磋商谈判）、供应商多轮报价操作手册、在线磋商（谈判、澄清）操作手册（https://zzggzy.zhengzhou.gov.cn/tzgg/20220323/df8813b9-2939-4c3a-9e5b-1204b7c55441.html）。 </w:t>
            </w:r>
          </w:p>
          <w:p>
            <w:pPr>
              <w:keepNext w:val="0"/>
              <w:keepLines w:val="0"/>
              <w:pageBreakBefore w:val="0"/>
              <w:kinsoku/>
              <w:wordWrap w:val="0"/>
              <w:overflowPunct/>
              <w:topLinePunct w:val="0"/>
              <w:bidi w:val="0"/>
              <w:adjustRightInd/>
              <w:spacing w:line="440" w:lineRule="exact"/>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4.供应商在制作电子标书过程中，如遇到电子交易系统的软件操作问题时，可通过热线电话（4009980000）进行咨询。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10.5</w:t>
            </w:r>
          </w:p>
        </w:tc>
        <w:tc>
          <w:tcPr>
            <w:tcW w:w="2280" w:type="dxa"/>
            <w:tcBorders>
              <w:lef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97"/>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根据郑州市公共资源交易中心网站通知公告栏《关于实施在线磋商谈判的通知》（网址：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"http://zzggzy.zhengzhou.gov.cn/tzgg/20220323/df8813b9-2939-4c3a-9e5b-1204b7c55441.html）,不再要求供应商到交易中心现场，文件解密及二轮报价在\“不见面开标大厅\”中完成。"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https://zzggzy.zhengzhou.gov.cn/tzgg/20220323/df8813b9-2939-4c3a-9e5b-1204b7c55441.html</w:t>
            </w:r>
            <w:r>
              <w:rPr>
                <w:rStyle w:val="36"/>
                <w:rFonts w:hint="eastAsia" w:ascii="宋体" w:hAnsi="宋体" w:eastAsia="宋体" w:cs="宋体"/>
                <w:color w:val="auto"/>
                <w:sz w:val="21"/>
                <w:szCs w:val="21"/>
                <w:highlight w:val="none"/>
              </w:rPr>
              <w:t>）</w:t>
            </w:r>
            <w:r>
              <w:rPr>
                <w:rStyle w:val="36"/>
                <w:rFonts w:hint="eastAsia" w:ascii="宋体" w:hAnsi="宋体" w:eastAsia="宋体" w:cs="宋体"/>
                <w:color w:val="auto"/>
                <w:sz w:val="21"/>
                <w:szCs w:val="21"/>
                <w:highlight w:val="none"/>
                <w:lang w:val="en-US" w:eastAsia="zh-CN"/>
              </w:rPr>
              <w:t>,不再要求供应商到交易中心现场。</w:t>
            </w:r>
            <w:r>
              <w:rPr>
                <w:rFonts w:hint="eastAsia" w:ascii="宋体" w:hAnsi="宋体" w:eastAsia="宋体" w:cs="宋体"/>
                <w:color w:val="auto"/>
                <w:sz w:val="21"/>
                <w:szCs w:val="21"/>
                <w:highlight w:val="none"/>
              </w:rPr>
              <w:fldChar w:fldCharType="end"/>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97"/>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注：供应商在项目开始前，需调试好系统，做好各项操作准备，在项目进行中应当保持在线，如因供应商自身操作造成的问题，责任由供应商自行承担。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2" w:hRule="atLeast"/>
        </w:trPr>
        <w:tc>
          <w:tcPr>
            <w:tcW w:w="960" w:type="dxa"/>
            <w:tcBorders>
              <w:righ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right="-48" w:rightChars="-22"/>
              <w:jc w:val="center"/>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10.6</w:t>
            </w:r>
          </w:p>
        </w:tc>
        <w:tc>
          <w:tcPr>
            <w:tcW w:w="2280" w:type="dxa"/>
            <w:tcBorders>
              <w:lef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right="-48" w:rightChars="-22"/>
              <w:jc w:val="center"/>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b w:val="0"/>
                <w:bCs w:val="0"/>
                <w:color w:val="auto"/>
                <w:sz w:val="21"/>
                <w:szCs w:val="21"/>
                <w:highlight w:val="none"/>
              </w:rPr>
              <w:t>磋</w:t>
            </w:r>
            <w:r>
              <w:rPr>
                <w:rFonts w:hint="eastAsia" w:ascii="宋体" w:hAnsi="宋体" w:eastAsia="宋体" w:cs="宋体"/>
                <w:color w:val="auto"/>
                <w:sz w:val="21"/>
                <w:szCs w:val="21"/>
                <w:highlight w:val="none"/>
                <w:lang w:val="zh-CN" w:eastAsia="zh-CN" w:bidi="zh-CN"/>
              </w:rPr>
              <w:t>商预算</w:t>
            </w:r>
          </w:p>
          <w:p>
            <w:pPr>
              <w:keepNext w:val="0"/>
              <w:keepLines w:val="0"/>
              <w:pageBreakBefore w:val="0"/>
              <w:widowControl w:val="0"/>
              <w:kinsoku/>
              <w:wordWrap w:val="0"/>
              <w:overflowPunct/>
              <w:topLinePunct w:val="0"/>
              <w:autoSpaceDE w:val="0"/>
              <w:autoSpaceDN w:val="0"/>
              <w:bidi w:val="0"/>
              <w:adjustRightInd/>
              <w:snapToGrid/>
              <w:spacing w:before="0" w:line="440" w:lineRule="exact"/>
              <w:ind w:right="-48" w:rightChars="-22"/>
              <w:jc w:val="center"/>
              <w:textAlignment w:val="auto"/>
              <w:rPr>
                <w:rFonts w:hint="eastAsia" w:ascii="宋体" w:hAnsi="宋体" w:eastAsia="宋体" w:cs="宋体"/>
                <w:b/>
                <w:bCs/>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（即最高限价</w:t>
            </w:r>
            <w:r>
              <w:rPr>
                <w:rFonts w:hint="eastAsia" w:ascii="宋体" w:hAnsi="宋体" w:eastAsia="宋体" w:cs="宋体"/>
                <w:b/>
                <w:bCs/>
                <w:color w:val="auto"/>
                <w:sz w:val="21"/>
                <w:szCs w:val="21"/>
                <w:highlight w:val="none"/>
              </w:rPr>
              <w:t>）</w:t>
            </w:r>
          </w:p>
        </w:tc>
        <w:tc>
          <w:tcPr>
            <w:tcW w:w="6017" w:type="dxa"/>
            <w:vAlign w:val="center"/>
          </w:tcPr>
          <w:p>
            <w:pPr>
              <w:keepNext w:val="0"/>
              <w:keepLines w:val="0"/>
              <w:pageBreakBefore w:val="0"/>
              <w:kinsoku/>
              <w:wordWrap w:val="0"/>
              <w:overflowPunct/>
              <w:topLinePunct w:val="0"/>
              <w:bidi w:val="0"/>
              <w:adjustRightInd/>
              <w:spacing w:line="44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大写：人民币</w:t>
            </w:r>
            <w:r>
              <w:rPr>
                <w:rFonts w:hint="eastAsia" w:cs="宋体"/>
                <w:b/>
                <w:bCs/>
                <w:color w:val="auto"/>
                <w:sz w:val="21"/>
                <w:szCs w:val="21"/>
                <w:highlight w:val="none"/>
                <w:lang w:val="en-US" w:eastAsia="zh-CN"/>
              </w:rPr>
              <w:t>肆拾捌万元整</w:t>
            </w:r>
          </w:p>
          <w:p>
            <w:pPr>
              <w:keepNext w:val="0"/>
              <w:keepLines w:val="0"/>
              <w:pageBreakBefore w:val="0"/>
              <w:kinsoku/>
              <w:wordWrap w:val="0"/>
              <w:overflowPunct/>
              <w:topLinePunct w:val="0"/>
              <w:bidi w:val="0"/>
              <w:adjustRightInd/>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小写：¥</w:t>
            </w:r>
            <w:r>
              <w:rPr>
                <w:rFonts w:hint="eastAsia" w:cs="宋体"/>
                <w:b/>
                <w:bCs/>
                <w:color w:val="auto"/>
                <w:sz w:val="21"/>
                <w:szCs w:val="21"/>
                <w:highlight w:val="none"/>
                <w:lang w:val="en-US" w:eastAsia="zh-CN"/>
              </w:rPr>
              <w:t>480000.00</w:t>
            </w:r>
            <w:r>
              <w:rPr>
                <w:rFonts w:hint="eastAsia" w:ascii="宋体" w:hAnsi="宋体" w:eastAsia="宋体" w:cs="宋体"/>
                <w:b/>
                <w:bCs/>
                <w:color w:val="auto"/>
                <w:sz w:val="21"/>
                <w:szCs w:val="21"/>
                <w:highlight w:val="none"/>
              </w:rPr>
              <w:t>元</w:t>
            </w:r>
          </w:p>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97"/>
              <w:jc w:val="left"/>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超过预算者，按照废标处理。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pacing w:line="440" w:lineRule="exact"/>
              <w:jc w:val="center"/>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10.7</w:t>
            </w:r>
          </w:p>
        </w:tc>
        <w:tc>
          <w:tcPr>
            <w:tcW w:w="2280" w:type="dxa"/>
            <w:tcBorders>
              <w:lef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特别说明</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97"/>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w:t>
            </w:r>
            <w:r>
              <w:rPr>
                <w:rFonts w:hint="eastAsia" w:ascii="宋体" w:hAnsi="宋体" w:eastAsia="宋体" w:cs="宋体"/>
                <w:b/>
                <w:bCs/>
                <w:color w:val="auto"/>
                <w:sz w:val="21"/>
                <w:szCs w:val="21"/>
                <w:highlight w:val="none"/>
              </w:rPr>
              <w:t>过程中，</w:t>
            </w:r>
            <w:r>
              <w:rPr>
                <w:rFonts w:hint="eastAsia" w:ascii="宋体" w:hAnsi="宋体" w:eastAsia="宋体" w:cs="宋体"/>
                <w:b/>
                <w:color w:val="auto"/>
                <w:sz w:val="21"/>
                <w:szCs w:val="21"/>
                <w:highlight w:val="none"/>
              </w:rPr>
              <w:t>如果出现 2 家及以上供应商电子响应文件制作机器码一致时，其投标作废标处理。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trPr>
        <w:tc>
          <w:tcPr>
            <w:tcW w:w="960" w:type="dxa"/>
            <w:tcBorders>
              <w:righ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jc w:val="center"/>
              <w:textAlignment w:val="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10.8</w:t>
            </w:r>
          </w:p>
        </w:tc>
        <w:tc>
          <w:tcPr>
            <w:tcW w:w="2280" w:type="dxa"/>
            <w:tcBorders>
              <w:lef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t>郑州市高新区政府采购合同融资政策告知函</w:t>
            </w:r>
          </w:p>
        </w:tc>
        <w:tc>
          <w:tcPr>
            <w:tcW w:w="601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right="97"/>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详见正文附件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trPr>
        <w:tc>
          <w:tcPr>
            <w:tcW w:w="960" w:type="dxa"/>
            <w:tcBorders>
              <w:righ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lang w:val="en-US" w:eastAsia="zh-CN" w:bidi="zh-CN"/>
              </w:rPr>
            </w:pPr>
            <w:r>
              <w:rPr>
                <w:rFonts w:hint="eastAsia" w:cs="宋体"/>
                <w:color w:val="auto"/>
                <w:sz w:val="21"/>
                <w:szCs w:val="21"/>
                <w:highlight w:val="none"/>
                <w:lang w:val="en-US" w:eastAsia="zh-CN" w:bidi="zh-CN"/>
              </w:rPr>
              <w:t>10.9</w:t>
            </w:r>
          </w:p>
        </w:tc>
        <w:tc>
          <w:tcPr>
            <w:tcW w:w="2280" w:type="dxa"/>
            <w:tcBorders>
              <w:lef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是否为只面向中小企业采购</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left"/>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否</w:t>
            </w:r>
            <w:r>
              <w:rPr>
                <w:rFonts w:hint="eastAsia" w:ascii="宋体" w:hAnsi="宋体" w:eastAsia="宋体" w:cs="宋体"/>
                <w:color w:val="auto"/>
                <w:sz w:val="21"/>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10" w:right="98"/>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r>
              <w:rPr>
                <w:rFonts w:hint="eastAsia" w:cs="宋体"/>
                <w:color w:val="auto"/>
                <w:sz w:val="21"/>
                <w:szCs w:val="21"/>
                <w:highlight w:val="none"/>
                <w:lang w:val="en-US" w:eastAsia="zh-CN"/>
              </w:rPr>
              <w:t>10</w:t>
            </w:r>
          </w:p>
        </w:tc>
        <w:tc>
          <w:tcPr>
            <w:tcW w:w="2280" w:type="dxa"/>
            <w:tcBorders>
              <w:lef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rPr>
              <w:t>采购标的对应的中小企业划分标准所属行业</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工业（包括采矿业，制造业，电力、热力、燃气及水生产和供应业）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10" w:right="98"/>
              <w:jc w:val="center"/>
              <w:textAlignment w:val="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10.11</w:t>
            </w:r>
          </w:p>
        </w:tc>
        <w:tc>
          <w:tcPr>
            <w:tcW w:w="2280" w:type="dxa"/>
            <w:tcBorders>
              <w:lef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采购结果确定及合同的签订</w:t>
            </w:r>
          </w:p>
        </w:tc>
        <w:tc>
          <w:tcPr>
            <w:tcW w:w="6017" w:type="dxa"/>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1、采购人应在评审结束后 1 个工作日内确定采购结果，并将采购结果在</w:t>
            </w:r>
            <w:r>
              <w:rPr>
                <w:rFonts w:hint="eastAsia" w:cs="宋体"/>
                <w:color w:val="auto"/>
                <w:sz w:val="21"/>
                <w:szCs w:val="21"/>
                <w:highlight w:val="none"/>
                <w:lang w:eastAsia="zh-CN"/>
              </w:rPr>
              <w:t>磋商</w:t>
            </w:r>
            <w:r>
              <w:rPr>
                <w:rFonts w:hint="eastAsia" w:ascii="宋体" w:hAnsi="宋体" w:eastAsia="宋体" w:cs="宋体"/>
                <w:color w:val="auto"/>
                <w:sz w:val="21"/>
                <w:szCs w:val="21"/>
                <w:highlight w:val="none"/>
              </w:rPr>
              <w:t>公告发布的媒介上进行公告，同时向</w:t>
            </w:r>
            <w:r>
              <w:rPr>
                <w:rFonts w:hint="eastAsia" w:cs="宋体"/>
                <w:color w:val="auto"/>
                <w:sz w:val="21"/>
                <w:szCs w:val="21"/>
                <w:highlight w:val="none"/>
                <w:lang w:eastAsia="zh-CN"/>
              </w:rPr>
              <w:t>成交</w:t>
            </w:r>
            <w:r>
              <w:rPr>
                <w:rFonts w:hint="eastAsia" w:ascii="宋体" w:hAnsi="宋体" w:eastAsia="宋体" w:cs="宋体"/>
                <w:color w:val="auto"/>
                <w:sz w:val="21"/>
                <w:szCs w:val="21"/>
                <w:highlight w:val="none"/>
              </w:rPr>
              <w:t>供应商发出</w:t>
            </w:r>
            <w:r>
              <w:rPr>
                <w:rFonts w:hint="eastAsia"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2、采购人应在采购结果公告发布之日起 2 个工作日与</w:t>
            </w:r>
            <w:r>
              <w:rPr>
                <w:rFonts w:hint="eastAsia" w:cs="宋体"/>
                <w:color w:val="auto"/>
                <w:sz w:val="21"/>
                <w:szCs w:val="21"/>
                <w:highlight w:val="none"/>
                <w:lang w:eastAsia="zh-CN"/>
              </w:rPr>
              <w:t>成交</w:t>
            </w:r>
            <w:r>
              <w:rPr>
                <w:rFonts w:hint="eastAsia" w:ascii="宋体" w:hAnsi="宋体" w:eastAsia="宋体" w:cs="宋体"/>
                <w:color w:val="auto"/>
                <w:sz w:val="21"/>
                <w:szCs w:val="21"/>
                <w:highlight w:val="none"/>
              </w:rPr>
              <w:t>供应商签订政府采购合同，合同签订后1个工作日内在</w:t>
            </w:r>
            <w:r>
              <w:rPr>
                <w:rFonts w:hint="eastAsia" w:cs="宋体"/>
                <w:color w:val="auto"/>
                <w:sz w:val="21"/>
                <w:szCs w:val="21"/>
                <w:highlight w:val="none"/>
                <w:lang w:val="en-US" w:eastAsia="zh-CN"/>
              </w:rPr>
              <w:t>高新</w:t>
            </w:r>
            <w:r>
              <w:rPr>
                <w:rFonts w:hint="eastAsia" w:ascii="宋体" w:hAnsi="宋体" w:eastAsia="宋体" w:cs="宋体"/>
                <w:color w:val="auto"/>
                <w:sz w:val="21"/>
                <w:szCs w:val="21"/>
                <w:highlight w:val="none"/>
                <w:lang w:eastAsia="zh-CN"/>
              </w:rPr>
              <w:t>区</w:t>
            </w:r>
            <w:r>
              <w:rPr>
                <w:rFonts w:hint="eastAsia" w:ascii="宋体" w:hAnsi="宋体" w:eastAsia="宋体" w:cs="宋体"/>
                <w:color w:val="auto"/>
                <w:sz w:val="21"/>
                <w:szCs w:val="21"/>
                <w:highlight w:val="none"/>
              </w:rPr>
              <w:t>政府采购网进行合同公告</w:t>
            </w:r>
            <w:r>
              <w:rPr>
                <w:rFonts w:hint="eastAsia" w:cs="宋体"/>
                <w:color w:val="auto"/>
                <w:sz w:val="21"/>
                <w:szCs w:val="21"/>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8" w:hRule="atLeast"/>
        </w:trPr>
        <w:tc>
          <w:tcPr>
            <w:tcW w:w="960" w:type="dxa"/>
            <w:tcBorders>
              <w:right w:val="single" w:color="auto" w:sz="4" w:space="0"/>
            </w:tcBorders>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440" w:lineRule="exact"/>
              <w:ind w:left="110" w:right="98"/>
              <w:jc w:val="center"/>
              <w:textAlignment w:val="auto"/>
              <w:rPr>
                <w:rFonts w:hint="default" w:cs="宋体"/>
                <w:color w:val="auto"/>
                <w:sz w:val="21"/>
                <w:szCs w:val="21"/>
                <w:highlight w:val="none"/>
                <w:lang w:val="en-US" w:eastAsia="zh-CN"/>
              </w:rPr>
            </w:pPr>
            <w:r>
              <w:rPr>
                <w:rFonts w:hint="eastAsia" w:cs="宋体"/>
                <w:color w:val="auto"/>
                <w:sz w:val="21"/>
                <w:szCs w:val="21"/>
                <w:highlight w:val="none"/>
                <w:lang w:val="en-US" w:eastAsia="zh-CN"/>
              </w:rPr>
              <w:t>10.12</w:t>
            </w:r>
          </w:p>
        </w:tc>
        <w:tc>
          <w:tcPr>
            <w:tcW w:w="2280" w:type="dxa"/>
            <w:tcBorders>
              <w:left w:val="single" w:color="auto" w:sz="4" w:space="0"/>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6017" w:type="dxa"/>
            <w:vAlign w:val="center"/>
          </w:tcPr>
          <w:p>
            <w:pPr>
              <w:pageBreakBefore w:val="0"/>
              <w:widowControl w:val="0"/>
              <w:numPr>
                <w:ilvl w:val="0"/>
                <w:numId w:val="0"/>
              </w:numPr>
              <w:kinsoku/>
              <w:wordWrap w:val="0"/>
              <w:overflowPunct/>
              <w:topLinePunct w:val="0"/>
              <w:bidi w:val="0"/>
              <w:spacing w:line="360"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供应商认为采购文件、采购过程和中标结果使自己的权益受到损害的，可以在知道或者应知其权益受到损害之日起七个工作日内，按照《政府采购质疑和投诉办法》（财政部令第94号）规定以书面形式向采购代理机构提出质疑，逾期不再接收。</w:t>
            </w:r>
          </w:p>
          <w:p>
            <w:pPr>
              <w:pageBreakBefore w:val="0"/>
              <w:widowControl w:val="0"/>
              <w:numPr>
                <w:ilvl w:val="0"/>
                <w:numId w:val="0"/>
              </w:numPr>
              <w:kinsoku/>
              <w:wordWrap w:val="0"/>
              <w:overflowPunct/>
              <w:topLinePunct w:val="0"/>
              <w:bidi w:val="0"/>
              <w:spacing w:line="360"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接收质疑函联系部门：河南弘程工程咨询有限公司 </w:t>
            </w:r>
          </w:p>
          <w:p>
            <w:pPr>
              <w:pageBreakBefore w:val="0"/>
              <w:widowControl w:val="0"/>
              <w:numPr>
                <w:ilvl w:val="0"/>
                <w:numId w:val="0"/>
              </w:numPr>
              <w:kinsoku/>
              <w:wordWrap w:val="0"/>
              <w:overflowPunct/>
              <w:topLinePunct w:val="0"/>
              <w:bidi w:val="0"/>
              <w:spacing w:line="360"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联系电话：0371-67916696</w:t>
            </w:r>
          </w:p>
          <w:p>
            <w:pPr>
              <w:pageBreakBefore w:val="0"/>
              <w:widowControl w:val="0"/>
              <w:numPr>
                <w:ilvl w:val="0"/>
                <w:numId w:val="0"/>
              </w:numPr>
              <w:kinsoku/>
              <w:wordWrap w:val="0"/>
              <w:overflowPunct/>
              <w:topLinePunct w:val="0"/>
              <w:bidi w:val="0"/>
              <w:spacing w:line="360"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通讯地址：郑州市高新技术产业开发区瑞达路科学大道正弘高新数码港1号楼19楼413室。</w:t>
            </w:r>
          </w:p>
          <w:p>
            <w:pPr>
              <w:keepNext w:val="0"/>
              <w:keepLines w:val="0"/>
              <w:pageBreakBefore w:val="0"/>
              <w:widowControl w:val="0"/>
              <w:kinsoku/>
              <w:wordWrap w:val="0"/>
              <w:overflowPunct/>
              <w:topLinePunct w:val="0"/>
              <w:autoSpaceDE w:val="0"/>
              <w:autoSpaceDN w:val="0"/>
              <w:bidi w:val="0"/>
              <w:adjustRightInd/>
              <w:snapToGrid/>
              <w:spacing w:before="0" w:line="440" w:lineRule="exact"/>
              <w:ind w:left="0" w:leftChars="0" w:right="0" w:rightChars="0"/>
              <w:jc w:val="left"/>
              <w:textAlignment w:val="auto"/>
              <w:rPr>
                <w:rFonts w:hint="eastAsia" w:ascii="宋体" w:hAnsi="宋体" w:eastAsia="宋体" w:cs="宋体"/>
                <w:color w:val="auto"/>
                <w:sz w:val="21"/>
                <w:szCs w:val="21"/>
                <w:highlight w:val="none"/>
              </w:rPr>
            </w:pPr>
            <w:r>
              <w:rPr>
                <w:rFonts w:hint="eastAsia" w:ascii="Times New Roman" w:hAnsi="Times New Roman" w:eastAsia="宋体" w:cs="Times New Roman"/>
                <w:color w:val="auto"/>
                <w:highlight w:val="none"/>
                <w:lang w:val="en-US" w:eastAsia="zh-CN"/>
              </w:rPr>
              <w:t>在法定质疑期内供应商针对同一采购程序环节的质疑应当一次性提出。</w:t>
            </w:r>
          </w:p>
        </w:tc>
      </w:tr>
    </w:tbl>
    <w:p>
      <w:pPr>
        <w:pStyle w:val="45"/>
        <w:pageBreakBefore w:val="0"/>
        <w:numPr>
          <w:ilvl w:val="0"/>
          <w:numId w:val="0"/>
        </w:numPr>
        <w:tabs>
          <w:tab w:val="left" w:pos="1497"/>
        </w:tabs>
        <w:kinsoku/>
        <w:wordWrap w:val="0"/>
        <w:overflowPunct/>
        <w:topLinePunct w:val="0"/>
        <w:bidi w:val="0"/>
        <w:spacing w:before="42" w:after="0" w:line="240" w:lineRule="auto"/>
        <w:ind w:right="0" w:rightChars="0"/>
        <w:jc w:val="left"/>
        <w:outlineLvl w:val="9"/>
        <w:rPr>
          <w:color w:val="auto"/>
          <w:highlight w:val="none"/>
        </w:rPr>
      </w:pPr>
      <w:r>
        <w:rPr>
          <w:b/>
          <w:color w:val="auto"/>
          <w:sz w:val="21"/>
          <w:highlight w:val="none"/>
        </w:rPr>
        <w:t>注：本磋商文件中内容与供应商须知前附表中内容不一致时以供应商须知前附表中内容为准。</w:t>
      </w:r>
      <w:bookmarkStart w:id="30" w:name="_bookmark3"/>
      <w:bookmarkEnd w:id="30"/>
    </w:p>
    <w:bookmarkEnd w:id="26"/>
    <w:bookmarkEnd w:id="27"/>
    <w:bookmarkEnd w:id="28"/>
    <w:bookmarkEnd w:id="29"/>
    <w:p>
      <w:pPr>
        <w:pageBreakBefore w:val="0"/>
        <w:kinsoku/>
        <w:wordWrap w:val="0"/>
        <w:overflowPunct/>
        <w:topLinePunct w:val="0"/>
        <w:bidi w:val="0"/>
        <w:ind w:firstLine="422" w:firstLineChars="200"/>
        <w:rPr>
          <w:rFonts w:hint="eastAsia" w:ascii="宋体" w:hAnsi="宋体" w:eastAsia="宋体" w:cs="宋体"/>
          <w:b/>
          <w:color w:val="auto"/>
          <w:sz w:val="22"/>
          <w:szCs w:val="22"/>
          <w:highlight w:val="none"/>
        </w:rPr>
      </w:pPr>
      <w:r>
        <w:rPr>
          <w:b/>
          <w:color w:val="auto"/>
          <w:sz w:val="21"/>
          <w:highlight w:val="none"/>
        </w:rPr>
        <w:br w:type="page"/>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31" w:name="第三章  评审办法（综合评分法）"/>
      <w:bookmarkEnd w:id="31"/>
      <w:bookmarkStart w:id="32" w:name="_Toc26912"/>
      <w:bookmarkStart w:id="33" w:name="_Toc20703"/>
      <w:bookmarkStart w:id="34" w:name="_Toc14365"/>
      <w:bookmarkStart w:id="35" w:name="_Toc28473"/>
      <w:bookmarkStart w:id="36" w:name="_Toc1169"/>
      <w:r>
        <w:rPr>
          <w:rFonts w:hint="eastAsia" w:ascii="宋体" w:hAnsi="宋体" w:eastAsia="宋体" w:cs="宋体"/>
          <w:b/>
          <w:color w:val="auto"/>
          <w:sz w:val="24"/>
          <w:szCs w:val="24"/>
          <w:highlight w:val="none"/>
        </w:rPr>
        <w:t>1.总则</w:t>
      </w:r>
      <w:bookmarkEnd w:id="32"/>
      <w:bookmarkEnd w:id="33"/>
      <w:bookmarkEnd w:id="34"/>
      <w:bookmarkEnd w:id="35"/>
      <w:bookmarkEnd w:id="36"/>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37" w:name="_Toc2934"/>
      <w:r>
        <w:rPr>
          <w:rFonts w:hint="eastAsia"/>
          <w:b/>
          <w:bCs/>
          <w:color w:val="auto"/>
          <w:sz w:val="24"/>
          <w:szCs w:val="24"/>
          <w:highlight w:val="none"/>
        </w:rPr>
        <w:t>1.1适用范围</w:t>
      </w:r>
      <w:bookmarkEnd w:id="37"/>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1.1.1根据《中华人民共和国政府采购法》、《政府采购竞争性磋商采购方式管理暂行办法》等有关法律、法规和规章的规定，编制本项目磋商文件。</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38" w:name="_Toc26257"/>
      <w:r>
        <w:rPr>
          <w:rFonts w:hint="eastAsia"/>
          <w:b/>
          <w:bCs/>
          <w:color w:val="auto"/>
          <w:sz w:val="24"/>
          <w:szCs w:val="24"/>
          <w:highlight w:val="none"/>
        </w:rPr>
        <w:t>1.2采购项目说明</w:t>
      </w:r>
      <w:bookmarkEnd w:id="38"/>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1.2.1本项目采购人：见供应商须知前附表。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1.2.2本项目采购代理机构：见供应商须知前附表。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1.2.3本项目名称：见供应商须知前附表。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39" w:name="_Toc6846"/>
      <w:r>
        <w:rPr>
          <w:rFonts w:hint="eastAsia"/>
          <w:b/>
          <w:bCs/>
          <w:color w:val="auto"/>
          <w:sz w:val="24"/>
          <w:szCs w:val="24"/>
          <w:highlight w:val="none"/>
        </w:rPr>
        <w:t>1.3定义及解释</w:t>
      </w:r>
      <w:bookmarkEnd w:id="39"/>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1.3.1采购人：依法进行政府采购的国家机关、事业单位、团体组织。</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1.3.2采购代理机构：取得政府采购招标代理资质，受采购人委托组织招标活动的社会中介组织。</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1.3.3供应商：供应商是响应磋商文件、参加磋商竞争的中华人民共和国境内的法人、其它组织。</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1.3.4响应文件：指供应商根据磋商文件提交的所有文件。</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1.3.5磋商小组：依据《中华人民共和国政府采购法》及有关法律、法规的规定依法组建的专门负责本次评标工作的临时机构。</w:t>
      </w:r>
    </w:p>
    <w:p>
      <w:pPr>
        <w:pageBreakBefore w:val="0"/>
        <w:kinsoku/>
        <w:wordWrap w:val="0"/>
        <w:overflowPunct/>
        <w:topLinePunct w:val="0"/>
        <w:bidi w:val="0"/>
        <w:spacing w:line="360" w:lineRule="auto"/>
        <w:ind w:firstLine="480" w:firstLineChars="200"/>
        <w:rPr>
          <w:rFonts w:hint="eastAsia"/>
          <w:color w:val="auto"/>
          <w:highlight w:val="none"/>
        </w:rPr>
      </w:pPr>
      <w:r>
        <w:rPr>
          <w:rFonts w:hint="eastAsia" w:ascii="宋体" w:hAnsi="宋体" w:cs="宋体"/>
          <w:color w:val="auto"/>
          <w:sz w:val="24"/>
          <w:highlight w:val="none"/>
        </w:rPr>
        <w:t>1.3.6偏离：响应文件的响应相对于磋商文件要求的偏差，该偏差优于磋商文件要求的为正偏离；劣于的，为负偏离。</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w:t>
      </w:r>
      <w:r>
        <w:rPr>
          <w:rFonts w:hint="eastAsia"/>
          <w:color w:val="auto"/>
          <w:sz w:val="24"/>
          <w:szCs w:val="24"/>
          <w:highlight w:val="none"/>
          <w:lang w:val="en-US" w:eastAsia="zh-CN"/>
        </w:rPr>
        <w:t>7</w:t>
      </w:r>
      <w:r>
        <w:rPr>
          <w:rFonts w:hint="eastAsia"/>
          <w:color w:val="auto"/>
          <w:sz w:val="24"/>
          <w:szCs w:val="24"/>
          <w:highlight w:val="none"/>
        </w:rPr>
        <w:t>“日期”或“天”：指日历天。</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w:t>
      </w:r>
      <w:r>
        <w:rPr>
          <w:rFonts w:hint="eastAsia"/>
          <w:color w:val="auto"/>
          <w:sz w:val="24"/>
          <w:szCs w:val="24"/>
          <w:highlight w:val="none"/>
          <w:lang w:val="en-US" w:eastAsia="zh-CN"/>
        </w:rPr>
        <w:t>8</w:t>
      </w:r>
      <w:r>
        <w:rPr>
          <w:rFonts w:hint="eastAsia"/>
          <w:color w:val="auto"/>
          <w:sz w:val="24"/>
          <w:szCs w:val="24"/>
          <w:highlight w:val="none"/>
        </w:rPr>
        <w:t>合同：指依据本次工程采购招标结果签订的协议或合约文件。</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1.3.</w:t>
      </w:r>
      <w:r>
        <w:rPr>
          <w:rFonts w:hint="eastAsia"/>
          <w:color w:val="auto"/>
          <w:sz w:val="24"/>
          <w:szCs w:val="24"/>
          <w:highlight w:val="none"/>
          <w:lang w:val="en-US" w:eastAsia="zh-CN"/>
        </w:rPr>
        <w:t>9</w:t>
      </w:r>
      <w:r>
        <w:rPr>
          <w:rFonts w:hint="eastAsia"/>
          <w:color w:val="auto"/>
          <w:sz w:val="24"/>
          <w:szCs w:val="24"/>
          <w:highlight w:val="none"/>
        </w:rPr>
        <w:t>磋商文件中的标题或题名仅起引导作用，而不应视为对磋商文件内容的理解和解释。</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0" w:name="_Toc28396"/>
      <w:r>
        <w:rPr>
          <w:rFonts w:hint="eastAsia"/>
          <w:b/>
          <w:bCs/>
          <w:color w:val="auto"/>
          <w:sz w:val="24"/>
          <w:szCs w:val="24"/>
          <w:highlight w:val="none"/>
        </w:rPr>
        <w:t>1.4磋商范围、包段划分、</w:t>
      </w:r>
      <w:r>
        <w:rPr>
          <w:rFonts w:hint="eastAsia"/>
          <w:b/>
          <w:bCs/>
          <w:color w:val="auto"/>
          <w:sz w:val="24"/>
          <w:szCs w:val="24"/>
          <w:highlight w:val="none"/>
          <w:lang w:val="en-US" w:eastAsia="zh-CN"/>
        </w:rPr>
        <w:t>供货及安装期</w:t>
      </w:r>
      <w:r>
        <w:rPr>
          <w:rFonts w:hint="eastAsia"/>
          <w:b/>
          <w:bCs/>
          <w:color w:val="auto"/>
          <w:sz w:val="24"/>
          <w:szCs w:val="24"/>
          <w:highlight w:val="none"/>
        </w:rPr>
        <w:t>、质量要求</w:t>
      </w:r>
      <w:bookmarkEnd w:id="40"/>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1.4.1本次磋商范围及包段划分：见供应商须知前附表。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1.4.2本项目的</w:t>
      </w:r>
      <w:r>
        <w:rPr>
          <w:rFonts w:hint="eastAsia"/>
          <w:color w:val="auto"/>
          <w:sz w:val="24"/>
          <w:szCs w:val="24"/>
          <w:highlight w:val="none"/>
          <w:lang w:val="en-US" w:eastAsia="zh-CN"/>
        </w:rPr>
        <w:t>供货及安装期</w:t>
      </w:r>
      <w:r>
        <w:rPr>
          <w:rFonts w:hint="eastAsia"/>
          <w:color w:val="auto"/>
          <w:sz w:val="24"/>
          <w:szCs w:val="24"/>
          <w:highlight w:val="none"/>
        </w:rPr>
        <w:t>：见供应商须知前附表。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1.4.3本项目的服务质量要求：见供应商须知前附表。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1" w:name="_Toc7347"/>
      <w:r>
        <w:rPr>
          <w:rFonts w:hint="eastAsia"/>
          <w:b/>
          <w:bCs/>
          <w:color w:val="auto"/>
          <w:sz w:val="24"/>
          <w:szCs w:val="24"/>
          <w:highlight w:val="none"/>
        </w:rPr>
        <w:t>1.5供应商资质条件和能力</w:t>
      </w:r>
      <w:bookmarkEnd w:id="41"/>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1.5.1供应商资质及能力要求：见供应商须知前附表。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1.5.2是否接受联合体：见供应商须知前附表。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2" w:name="_Toc24342"/>
      <w:r>
        <w:rPr>
          <w:rFonts w:hint="eastAsia"/>
          <w:b/>
          <w:bCs/>
          <w:color w:val="auto"/>
          <w:sz w:val="24"/>
          <w:szCs w:val="24"/>
          <w:highlight w:val="none"/>
        </w:rPr>
        <w:t>1.6费用承担</w:t>
      </w:r>
      <w:bookmarkEnd w:id="42"/>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供应商准备和参加磋商活动发生的费用自理，不论磋商的结果如何，采购人和采购代理机构在任何情况下均无义务和责任承担这些费用。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3" w:name="_Toc5303"/>
      <w:r>
        <w:rPr>
          <w:rFonts w:hint="eastAsia"/>
          <w:b/>
          <w:bCs/>
          <w:color w:val="auto"/>
          <w:sz w:val="24"/>
          <w:szCs w:val="24"/>
          <w:highlight w:val="none"/>
        </w:rPr>
        <w:t>1.7保密</w:t>
      </w:r>
      <w:bookmarkEnd w:id="43"/>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参与磋商活动的各方应对磋商文件和响应文件中的商业和技术等秘密保密，违者应对由此造成的后果承担法律责任。</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4" w:name="_Toc7590"/>
      <w:r>
        <w:rPr>
          <w:rFonts w:hint="eastAsia"/>
          <w:b/>
          <w:bCs/>
          <w:color w:val="auto"/>
          <w:sz w:val="24"/>
          <w:szCs w:val="24"/>
          <w:highlight w:val="none"/>
        </w:rPr>
        <w:t>1.8语言文字</w:t>
      </w:r>
      <w:bookmarkEnd w:id="44"/>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除专用术语外，与磋商有关的语言均使用中文。必要时专用术语应附有中文注释，对不同文字文本响应文件的解释发生异议的，以中文文本为准。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5" w:name="_Toc25813"/>
      <w:r>
        <w:rPr>
          <w:rFonts w:hint="eastAsia"/>
          <w:b/>
          <w:bCs/>
          <w:color w:val="auto"/>
          <w:sz w:val="24"/>
          <w:szCs w:val="24"/>
          <w:highlight w:val="none"/>
        </w:rPr>
        <w:t>1.9计量单位</w:t>
      </w:r>
      <w:bookmarkEnd w:id="45"/>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所有计量均采用中华人民共和国法定计量单位。</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6" w:name="_Toc2817"/>
      <w:r>
        <w:rPr>
          <w:rFonts w:hint="eastAsia"/>
          <w:b/>
          <w:bCs/>
          <w:color w:val="auto"/>
          <w:sz w:val="24"/>
          <w:szCs w:val="24"/>
          <w:highlight w:val="none"/>
        </w:rPr>
        <w:t>1.10</w:t>
      </w:r>
      <w:r>
        <w:rPr>
          <w:rFonts w:hint="eastAsia"/>
          <w:b/>
          <w:bCs/>
          <w:color w:val="auto"/>
          <w:sz w:val="24"/>
          <w:szCs w:val="24"/>
          <w:highlight w:val="none"/>
          <w:lang w:eastAsia="zh-CN"/>
        </w:rPr>
        <w:t>预</w:t>
      </w:r>
      <w:r>
        <w:rPr>
          <w:rFonts w:hint="eastAsia"/>
          <w:b/>
          <w:bCs/>
          <w:color w:val="auto"/>
          <w:sz w:val="24"/>
          <w:szCs w:val="24"/>
          <w:highlight w:val="none"/>
        </w:rPr>
        <w:t>备会</w:t>
      </w:r>
      <w:bookmarkEnd w:id="46"/>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1.10.1不召开预备会。</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47" w:name="_Toc63"/>
      <w:r>
        <w:rPr>
          <w:rFonts w:hint="eastAsia"/>
          <w:b/>
          <w:bCs/>
          <w:color w:val="auto"/>
          <w:sz w:val="24"/>
          <w:szCs w:val="24"/>
          <w:highlight w:val="none"/>
        </w:rPr>
        <w:t>1.11分包</w:t>
      </w:r>
      <w:bookmarkEnd w:id="47"/>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1.11.1不允许分包。</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48" w:name="_Toc6256"/>
      <w:bookmarkStart w:id="49" w:name="_Toc16833"/>
      <w:bookmarkStart w:id="50" w:name="_Toc11443"/>
      <w:bookmarkStart w:id="51" w:name="_Toc1965"/>
      <w:bookmarkStart w:id="52" w:name="_Toc18118"/>
      <w:r>
        <w:rPr>
          <w:rFonts w:hint="eastAsia" w:ascii="宋体" w:hAnsi="宋体" w:eastAsia="宋体" w:cs="宋体"/>
          <w:b/>
          <w:color w:val="auto"/>
          <w:sz w:val="24"/>
          <w:szCs w:val="24"/>
          <w:highlight w:val="none"/>
        </w:rPr>
        <w:t>2.磋商文件</w:t>
      </w:r>
      <w:bookmarkEnd w:id="48"/>
      <w:bookmarkEnd w:id="49"/>
      <w:bookmarkEnd w:id="50"/>
      <w:bookmarkEnd w:id="51"/>
      <w:bookmarkEnd w:id="52"/>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53" w:name="_Toc6801"/>
      <w:r>
        <w:rPr>
          <w:rFonts w:hint="eastAsia"/>
          <w:b/>
          <w:bCs/>
          <w:color w:val="auto"/>
          <w:sz w:val="24"/>
          <w:szCs w:val="24"/>
          <w:highlight w:val="none"/>
        </w:rPr>
        <w:t>2.1磋商文件的组成</w:t>
      </w:r>
      <w:bookmarkEnd w:id="53"/>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本磋商文件包括：</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（1）磋商公告；</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（2）供应商须知；</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（3）评审办法（综合评分法）；</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（4）合同条款及格式；</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w:t>
      </w:r>
      <w:r>
        <w:rPr>
          <w:rFonts w:hint="eastAsia"/>
          <w:color w:val="auto"/>
          <w:sz w:val="24"/>
          <w:szCs w:val="24"/>
          <w:highlight w:val="none"/>
          <w:lang w:val="en-US" w:eastAsia="zh-CN"/>
        </w:rPr>
        <w:t>采购</w:t>
      </w:r>
      <w:r>
        <w:rPr>
          <w:rFonts w:hint="eastAsia"/>
          <w:color w:val="auto"/>
          <w:sz w:val="24"/>
          <w:szCs w:val="24"/>
          <w:highlight w:val="none"/>
          <w:lang w:eastAsia="zh-CN"/>
        </w:rPr>
        <w:t>需求</w:t>
      </w:r>
      <w:r>
        <w:rPr>
          <w:rFonts w:hint="eastAsia"/>
          <w:color w:val="auto"/>
          <w:sz w:val="24"/>
          <w:szCs w:val="24"/>
          <w:highlight w:val="none"/>
        </w:rPr>
        <w:t>；</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w:t>
      </w:r>
      <w:r>
        <w:rPr>
          <w:rFonts w:hint="eastAsia"/>
          <w:color w:val="auto"/>
          <w:sz w:val="24"/>
          <w:szCs w:val="24"/>
          <w:highlight w:val="none"/>
          <w:lang w:eastAsia="zh-CN"/>
        </w:rPr>
        <w:t>响应文件格式</w:t>
      </w:r>
      <w:r>
        <w:rPr>
          <w:rFonts w:hint="eastAsia"/>
          <w:color w:val="auto"/>
          <w:sz w:val="24"/>
          <w:szCs w:val="24"/>
          <w:highlight w:val="none"/>
        </w:rPr>
        <w:t>。</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根据本章第 1.10 款、第 2.2 款和第 2.3 款对磋商文件所作的澄清、修改，构成磋商文件的组成部分。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54" w:name="_Toc23749"/>
      <w:r>
        <w:rPr>
          <w:rFonts w:hint="eastAsia"/>
          <w:b/>
          <w:bCs/>
          <w:color w:val="auto"/>
          <w:sz w:val="24"/>
          <w:szCs w:val="24"/>
          <w:highlight w:val="none"/>
        </w:rPr>
        <w:t>2.2磋商文件的澄清</w:t>
      </w:r>
      <w:bookmarkEnd w:id="54"/>
    </w:p>
    <w:p>
      <w:pPr>
        <w:wordWrap w:val="0"/>
        <w:snapToGrid w:val="0"/>
        <w:spacing w:line="396" w:lineRule="auto"/>
        <w:ind w:firstLine="420"/>
        <w:rPr>
          <w:rFonts w:hint="eastAsia" w:ascii="宋体" w:hAnsi="宋体" w:eastAsia="宋体" w:cs="宋体"/>
          <w:color w:val="auto"/>
          <w:sz w:val="24"/>
          <w:szCs w:val="24"/>
          <w:lang w:eastAsia="zh-CN"/>
        </w:rPr>
      </w:pPr>
      <w:bookmarkStart w:id="55" w:name="_Toc590"/>
      <w:r>
        <w:rPr>
          <w:rFonts w:hint="eastAsia" w:ascii="宋体" w:hAnsi="宋体" w:cs="宋体"/>
          <w:color w:val="auto"/>
          <w:sz w:val="24"/>
          <w:szCs w:val="24"/>
        </w:rPr>
        <w:t>2.2.1 供应商应仔细阅读和检查磋商文件的全部内容。如发现缺页或附件不全，应及时向采购人提出，以便补齐。如有疑问，应在郑州市公共资源交易中心平台</w:t>
      </w:r>
      <w:r>
        <w:rPr>
          <w:rFonts w:hint="eastAsia" w:ascii="宋体" w:hAnsi="宋体" w:cs="宋体"/>
          <w:color w:val="auto"/>
          <w:sz w:val="24"/>
          <w:szCs w:val="24"/>
          <w:lang w:val="en-US" w:eastAsia="zh-CN"/>
        </w:rPr>
        <w:t>提出问题并电话告知代理机构</w:t>
      </w:r>
      <w:r>
        <w:rPr>
          <w:rFonts w:hint="eastAsia" w:ascii="宋体" w:hAnsi="宋体" w:cs="宋体"/>
          <w:color w:val="auto"/>
          <w:sz w:val="24"/>
          <w:szCs w:val="24"/>
        </w:rPr>
        <w:t>，要求采购人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采购代理机构</w:t>
      </w:r>
      <w:r>
        <w:rPr>
          <w:rFonts w:hint="eastAsia" w:ascii="宋体" w:hAnsi="宋体" w:cs="宋体"/>
          <w:color w:val="auto"/>
          <w:sz w:val="24"/>
          <w:szCs w:val="24"/>
        </w:rPr>
        <w:t>对磋商文件予以澄清。否则由此引起的任何后果均由供应商自己承担，采购人与采购代理机构均不承担任何责任</w:t>
      </w:r>
      <w:r>
        <w:rPr>
          <w:rFonts w:hint="eastAsia" w:ascii="宋体" w:hAnsi="宋体" w:cs="宋体"/>
          <w:color w:val="auto"/>
          <w:sz w:val="24"/>
          <w:szCs w:val="24"/>
          <w:lang w:eastAsia="zh-CN"/>
        </w:rPr>
        <w:t>。</w:t>
      </w:r>
    </w:p>
    <w:p>
      <w:pPr>
        <w:wordWrap w:val="0"/>
        <w:snapToGrid w:val="0"/>
        <w:spacing w:line="396" w:lineRule="auto"/>
        <w:ind w:firstLine="420"/>
        <w:rPr>
          <w:rFonts w:hint="eastAsia" w:ascii="宋体" w:hAnsi="宋体" w:cs="宋体"/>
          <w:color w:val="auto"/>
          <w:sz w:val="24"/>
          <w:szCs w:val="24"/>
        </w:rPr>
      </w:pPr>
      <w:r>
        <w:rPr>
          <w:rFonts w:hint="eastAsia" w:ascii="宋体" w:hAnsi="宋体" w:cs="宋体"/>
          <w:color w:val="auto"/>
          <w:sz w:val="24"/>
          <w:szCs w:val="24"/>
        </w:rPr>
        <w:t>2.2.2 澄清的内容将通过郑州市公共资源交易中心平台及招标公告发布网站发放，供应商自行在平台查看。如果澄清发出的时间距磋商截止时间不足五日，相应延长磋商截止时间。</w:t>
      </w:r>
    </w:p>
    <w:p>
      <w:pPr>
        <w:wordWrap w:val="0"/>
        <w:snapToGrid w:val="0"/>
        <w:spacing w:line="396" w:lineRule="auto"/>
        <w:ind w:firstLine="420"/>
        <w:rPr>
          <w:rFonts w:hint="eastAsia" w:ascii="宋体" w:hAnsi="宋体" w:cs="宋体"/>
          <w:color w:val="auto"/>
          <w:sz w:val="24"/>
          <w:szCs w:val="24"/>
        </w:rPr>
      </w:pPr>
      <w:r>
        <w:rPr>
          <w:rFonts w:hint="eastAsia" w:ascii="宋体" w:hAnsi="宋体" w:cs="宋体"/>
          <w:color w:val="auto"/>
          <w:sz w:val="24"/>
          <w:szCs w:val="24"/>
        </w:rPr>
        <w:t>2.2.3 供应商在收到澄清后，自行在平台查看。</w:t>
      </w:r>
    </w:p>
    <w:p>
      <w:pPr>
        <w:pageBreakBefore w:val="0"/>
        <w:kinsoku/>
        <w:wordWrap w:val="0"/>
        <w:overflowPunct/>
        <w:topLinePunct w:val="0"/>
        <w:bidi w:val="0"/>
        <w:spacing w:line="360" w:lineRule="auto"/>
        <w:ind w:firstLine="480" w:firstLineChars="200"/>
        <w:rPr>
          <w:rFonts w:hint="eastAsia" w:ascii="宋体" w:hAnsi="宋体" w:cs="宋体"/>
          <w:color w:val="auto"/>
          <w:sz w:val="24"/>
          <w:szCs w:val="24"/>
          <w:highlight w:val="none"/>
        </w:rPr>
      </w:pPr>
      <w:r>
        <w:rPr>
          <w:rFonts w:ascii="宋体" w:hAnsi="宋体" w:cs="宋体"/>
          <w:color w:val="auto"/>
          <w:sz w:val="24"/>
          <w:szCs w:val="24"/>
        </w:rPr>
        <w:t xml:space="preserve">2.2.4 </w:t>
      </w:r>
      <w:r>
        <w:rPr>
          <w:rFonts w:hint="eastAsia" w:ascii="宋体" w:hAnsi="宋体" w:cs="宋体"/>
          <w:color w:val="auto"/>
          <w:sz w:val="24"/>
          <w:szCs w:val="24"/>
        </w:rPr>
        <w:t>除非采购人认为确有必要答复，否则，采购人有权拒绝回复供应商在本章第</w:t>
      </w:r>
      <w:r>
        <w:rPr>
          <w:rFonts w:ascii="宋体" w:hAnsi="宋体" w:cs="宋体"/>
          <w:color w:val="auto"/>
          <w:sz w:val="24"/>
          <w:szCs w:val="24"/>
        </w:rPr>
        <w:t xml:space="preserve">2.2.1 </w:t>
      </w:r>
      <w:r>
        <w:rPr>
          <w:rFonts w:hint="eastAsia" w:ascii="宋体" w:hAnsi="宋体" w:cs="宋体"/>
          <w:color w:val="auto"/>
          <w:sz w:val="24"/>
          <w:szCs w:val="24"/>
        </w:rPr>
        <w:t>项规定的时间后的任何澄清要求。在规定的时间内未提出疑问的，将被视为对竞争性磋商文件完全认可</w:t>
      </w:r>
      <w:r>
        <w:rPr>
          <w:rFonts w:hint="eastAsia" w:ascii="宋体" w:hAnsi="宋体" w:cs="宋体"/>
          <w:color w:val="auto"/>
          <w:sz w:val="24"/>
          <w:szCs w:val="24"/>
          <w:lang w:eastAsia="zh-CN"/>
        </w:rPr>
        <w:t>。</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2.3磋商文件的修改</w:t>
      </w:r>
      <w:bookmarkEnd w:id="55"/>
    </w:p>
    <w:p>
      <w:pPr>
        <w:spacing w:line="460" w:lineRule="exact"/>
        <w:ind w:firstLine="420"/>
        <w:rPr>
          <w:rFonts w:hint="eastAsia" w:ascii="宋体" w:hAnsi="宋体"/>
          <w:color w:val="auto"/>
          <w:sz w:val="24"/>
          <w:szCs w:val="24"/>
        </w:rPr>
      </w:pPr>
      <w:r>
        <w:rPr>
          <w:rFonts w:hint="eastAsia" w:ascii="宋体" w:hAnsi="宋体"/>
          <w:color w:val="auto"/>
          <w:sz w:val="24"/>
          <w:szCs w:val="24"/>
        </w:rPr>
        <w:t>2.3.1 磋商文件的修改将在供应商须知前附表规定的磋商截止时间五日前通过郑州市公共资源交易中心平台及竞争性磋商公告发布网站通知所有购买磋商文件的供应商，如果修改发出的时间距磋商截止时间不足五日，并且修改内容可能影响响应文件编制的</w:t>
      </w:r>
      <w:r>
        <w:rPr>
          <w:rFonts w:hint="eastAsia" w:ascii="宋体" w:hAnsi="宋体"/>
          <w:color w:val="auto"/>
          <w:sz w:val="24"/>
          <w:szCs w:val="24"/>
          <w:lang w:eastAsia="zh-CN"/>
        </w:rPr>
        <w:t>，</w:t>
      </w:r>
      <w:r>
        <w:rPr>
          <w:rFonts w:hint="eastAsia" w:ascii="宋体" w:hAnsi="宋体"/>
          <w:color w:val="auto"/>
          <w:sz w:val="24"/>
          <w:szCs w:val="24"/>
        </w:rPr>
        <w:t>相应延长磋商截止时间。</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ascii="宋体" w:hAnsi="宋体"/>
          <w:color w:val="auto"/>
          <w:sz w:val="24"/>
          <w:szCs w:val="24"/>
        </w:rPr>
        <w:t>2.3.2 供应商收到修改内容后，</w:t>
      </w:r>
      <w:r>
        <w:rPr>
          <w:rFonts w:hint="eastAsia" w:ascii="宋体" w:hAnsi="宋体" w:cs="宋体"/>
          <w:color w:val="auto"/>
          <w:sz w:val="24"/>
          <w:szCs w:val="24"/>
        </w:rPr>
        <w:t>自行在平台查看</w:t>
      </w:r>
      <w:r>
        <w:rPr>
          <w:rFonts w:hint="eastAsia"/>
          <w:color w:val="auto"/>
          <w:sz w:val="24"/>
          <w:szCs w:val="24"/>
          <w:highlight w:val="none"/>
        </w:rPr>
        <w:t>。</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56" w:name="_Toc12236"/>
      <w:bookmarkStart w:id="57" w:name="_Toc29799"/>
      <w:bookmarkStart w:id="58" w:name="_Toc26521"/>
      <w:bookmarkStart w:id="59" w:name="_Toc13482"/>
      <w:bookmarkStart w:id="60" w:name="_Toc15218"/>
      <w:r>
        <w:rPr>
          <w:rFonts w:hint="eastAsia" w:ascii="宋体" w:hAnsi="宋体" w:eastAsia="宋体" w:cs="宋体"/>
          <w:b/>
          <w:color w:val="auto"/>
          <w:sz w:val="24"/>
          <w:szCs w:val="24"/>
          <w:highlight w:val="none"/>
        </w:rPr>
        <w:t>3.响应文件</w:t>
      </w:r>
      <w:bookmarkEnd w:id="56"/>
      <w:bookmarkEnd w:id="57"/>
      <w:bookmarkEnd w:id="58"/>
      <w:bookmarkEnd w:id="59"/>
      <w:bookmarkEnd w:id="60"/>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61" w:name="_Toc2106"/>
      <w:r>
        <w:rPr>
          <w:rFonts w:hint="eastAsia"/>
          <w:b/>
          <w:bCs/>
          <w:color w:val="auto"/>
          <w:sz w:val="24"/>
          <w:szCs w:val="24"/>
          <w:highlight w:val="none"/>
        </w:rPr>
        <w:t>3.1响应文件的组成</w:t>
      </w:r>
      <w:bookmarkEnd w:id="61"/>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b w:val="0"/>
          <w:bCs w:val="0"/>
          <w:color w:val="auto"/>
          <w:sz w:val="24"/>
          <w:szCs w:val="24"/>
          <w:highlight w:val="none"/>
        </w:rPr>
      </w:pPr>
      <w:r>
        <w:rPr>
          <w:rFonts w:hint="eastAsia"/>
          <w:b w:val="0"/>
          <w:bCs w:val="0"/>
          <w:color w:val="auto"/>
          <w:sz w:val="24"/>
          <w:szCs w:val="24"/>
          <w:highlight w:val="none"/>
        </w:rPr>
        <w:t>详见第六章“</w:t>
      </w:r>
      <w:r>
        <w:rPr>
          <w:rFonts w:hint="eastAsia"/>
          <w:b w:val="0"/>
          <w:bCs w:val="0"/>
          <w:color w:val="auto"/>
          <w:sz w:val="24"/>
          <w:szCs w:val="24"/>
          <w:highlight w:val="none"/>
          <w:lang w:eastAsia="zh-CN"/>
        </w:rPr>
        <w:t>响应文件格式</w:t>
      </w:r>
      <w:r>
        <w:rPr>
          <w:rFonts w:hint="eastAsia"/>
          <w:b w:val="0"/>
          <w:bCs w:val="0"/>
          <w:color w:val="auto"/>
          <w:sz w:val="24"/>
          <w:szCs w:val="24"/>
          <w:highlight w:val="none"/>
        </w:rPr>
        <w:t>”</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bookmarkStart w:id="62" w:name="_Toc6391"/>
      <w:r>
        <w:rPr>
          <w:rFonts w:hint="eastAsia"/>
          <w:color w:val="auto"/>
          <w:sz w:val="24"/>
          <w:szCs w:val="24"/>
          <w:highlight w:val="none"/>
        </w:rPr>
        <w:t>3.2磋商报价</w:t>
      </w:r>
      <w:bookmarkEnd w:id="62"/>
    </w:p>
    <w:p>
      <w:pPr>
        <w:wordWrap w:val="0"/>
        <w:snapToGrid w:val="0"/>
        <w:spacing w:line="396" w:lineRule="auto"/>
        <w:ind w:firstLine="420"/>
        <w:rPr>
          <w:rFonts w:hint="eastAsia" w:ascii="宋体" w:hAnsi="宋体" w:cs="宋体"/>
          <w:color w:val="auto"/>
          <w:sz w:val="24"/>
          <w:szCs w:val="24"/>
        </w:rPr>
      </w:pPr>
      <w:r>
        <w:rPr>
          <w:rFonts w:hint="eastAsia" w:ascii="宋体" w:hAnsi="宋体" w:cs="宋体"/>
          <w:color w:val="auto"/>
          <w:sz w:val="24"/>
          <w:szCs w:val="24"/>
        </w:rPr>
        <w:t>3.2.1 供应商严格按照竞争性磋商文件中给定的要求进行磋商报价，供应商一旦被确定为本项目成交人后，其成交金额将作为供应商的结算依据，采购人不再另行追加任何费用。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ascii="宋体" w:hAnsi="宋体" w:cs="宋体"/>
          <w:color w:val="auto"/>
          <w:sz w:val="24"/>
          <w:szCs w:val="24"/>
        </w:rPr>
        <w:t>3.2.2 成交人不得以任何理由在磋商截止后对磋商</w:t>
      </w:r>
      <w:r>
        <w:rPr>
          <w:rFonts w:hint="eastAsia" w:ascii="宋体" w:hAnsi="宋体" w:cs="宋体"/>
          <w:color w:val="auto"/>
          <w:sz w:val="24"/>
          <w:szCs w:val="24"/>
          <w:lang w:val="en-US" w:eastAsia="zh-CN"/>
        </w:rPr>
        <w:t>最后</w:t>
      </w:r>
      <w:r>
        <w:rPr>
          <w:rFonts w:hint="eastAsia" w:ascii="宋体" w:hAnsi="宋体" w:cs="宋体"/>
          <w:color w:val="auto"/>
          <w:sz w:val="24"/>
          <w:szCs w:val="24"/>
        </w:rPr>
        <w:t>报价予以修改，报价在磋商有效期内是固定的，不因任何原因而改变</w:t>
      </w:r>
      <w:r>
        <w:rPr>
          <w:rFonts w:hint="eastAsia"/>
          <w:color w:val="auto"/>
          <w:sz w:val="24"/>
          <w:szCs w:val="24"/>
          <w:highlight w:val="none"/>
        </w:rPr>
        <w:t>。</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63" w:name="_Toc8820"/>
      <w:r>
        <w:rPr>
          <w:rFonts w:hint="eastAsia"/>
          <w:b/>
          <w:bCs/>
          <w:color w:val="auto"/>
          <w:sz w:val="24"/>
          <w:szCs w:val="24"/>
          <w:highlight w:val="none"/>
        </w:rPr>
        <w:t>3.3磋商有效期</w:t>
      </w:r>
      <w:bookmarkEnd w:id="63"/>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3.3.1在供应商须知前附表规定的磋商有效期内，供应商不得要求撤销或修改其响应文件。</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3.3.2出现特殊情况需要延长磋商有效期的，采购人以书面形式通知所有供应商延长磋商有效期。供应商同意延长的，不得要求或被允许修改或撤销其响应文件；供应商拒绝延长的，其响应文件失效。</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64" w:name="_Toc12300"/>
      <w:r>
        <w:rPr>
          <w:rFonts w:hint="eastAsia"/>
          <w:b/>
          <w:bCs/>
          <w:color w:val="auto"/>
          <w:sz w:val="24"/>
          <w:szCs w:val="24"/>
          <w:highlight w:val="none"/>
        </w:rPr>
        <w:t>3.4磋商承诺函</w:t>
      </w:r>
      <w:bookmarkEnd w:id="64"/>
    </w:p>
    <w:p>
      <w:pPr>
        <w:pageBreakBefore w:val="0"/>
        <w:kinsoku/>
        <w:wordWrap w:val="0"/>
        <w:overflowPunct/>
        <w:topLinePunct w:val="0"/>
        <w:bidi w:val="0"/>
        <w:spacing w:line="360" w:lineRule="auto"/>
        <w:ind w:firstLine="480" w:firstLineChars="200"/>
        <w:rPr>
          <w:rFonts w:hint="eastAsia"/>
          <w:color w:val="auto"/>
          <w:sz w:val="24"/>
          <w:szCs w:val="24"/>
          <w:highlight w:val="none"/>
        </w:rPr>
      </w:pPr>
      <w:r>
        <w:rPr>
          <w:rFonts w:hint="eastAsia" w:ascii="宋体" w:hAnsi="宋体" w:cs="宋体"/>
          <w:color w:val="auto"/>
          <w:sz w:val="24"/>
          <w:highlight w:val="none"/>
        </w:rPr>
        <w:t>3.4.1 根据《河南省财政厅关于优化政府采购营商环境有关问题的通知》【豫财购〔2019〕4号】文件的要求，本项目不收取磋商保证金。供应商须在响应文件中以“磋商承诺函”的形式替代磋商保证金。对于未能提供“磋商承诺函”的响应文件，将视为不响应磋商文件而予以拒绝，“磋商承诺函”的格式详见磋商文件第六章。</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65" w:name="_Toc12678"/>
      <w:r>
        <w:rPr>
          <w:rFonts w:hint="eastAsia"/>
          <w:b/>
          <w:bCs/>
          <w:color w:val="auto"/>
          <w:sz w:val="24"/>
          <w:szCs w:val="24"/>
          <w:highlight w:val="none"/>
        </w:rPr>
        <w:t>3.5资格审查资料</w:t>
      </w:r>
      <w:bookmarkEnd w:id="65"/>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66" w:name="_Toc29954"/>
      <w:r>
        <w:rPr>
          <w:rFonts w:hint="eastAsia"/>
          <w:b/>
          <w:bCs/>
          <w:color w:val="auto"/>
          <w:sz w:val="24"/>
          <w:szCs w:val="24"/>
          <w:highlight w:val="none"/>
        </w:rPr>
        <w:t>3.6备选方案</w:t>
      </w:r>
      <w:bookmarkEnd w:id="66"/>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除供应商须知前附表另有规定外，供应商不得递交备选磋商方案。</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67" w:name="_Toc16064"/>
      <w:r>
        <w:rPr>
          <w:rFonts w:hint="eastAsia"/>
          <w:b/>
          <w:bCs/>
          <w:color w:val="auto"/>
          <w:sz w:val="24"/>
          <w:szCs w:val="24"/>
          <w:highlight w:val="none"/>
        </w:rPr>
        <w:t>3.7响应文件的编制</w:t>
      </w:r>
      <w:bookmarkEnd w:id="67"/>
    </w:p>
    <w:p>
      <w:pPr>
        <w:pageBreakBefore w:val="0"/>
        <w:kinsoku/>
        <w:wordWrap w:val="0"/>
        <w:overflowPunct/>
        <w:topLinePunct w:val="0"/>
        <w:bidi w:val="0"/>
        <w:spacing w:line="360" w:lineRule="auto"/>
        <w:ind w:firstLine="480" w:firstLineChars="200"/>
        <w:jc w:val="left"/>
        <w:rPr>
          <w:rFonts w:hint="eastAsia" w:ascii="宋体" w:hAnsi="宋体" w:cs="宋体"/>
          <w:color w:val="auto"/>
          <w:sz w:val="24"/>
          <w:highlight w:val="none"/>
        </w:rPr>
      </w:pPr>
      <w:bookmarkStart w:id="68" w:name="_Toc4746"/>
      <w:bookmarkStart w:id="69" w:name="_Toc886"/>
      <w:bookmarkStart w:id="70" w:name="_Toc23663"/>
      <w:bookmarkStart w:id="71" w:name="_Toc8483"/>
      <w:r>
        <w:rPr>
          <w:rFonts w:hint="eastAsia" w:ascii="宋体" w:hAnsi="宋体" w:cs="宋体"/>
          <w:color w:val="auto"/>
          <w:sz w:val="24"/>
          <w:highlight w:val="none"/>
        </w:rPr>
        <w:t>3.7.1供应商须使用电子交易系统提供的响应性文件制作工具进行电子响应性文件的制作，并按要求上传经 CA 锁签章和加密的电子响应性文件（.ZZTF 格式）。加密电子响应文件 (*.ZZTF格 式 ) 须在郑州市公共资源交易中心（https://zzggzy.zhengzhou.gov.cn/）电子交易平台加密上传；逾期上传的或者未上传响应文件，采购人不予受理。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3.7.2 供应商应按本竞争性磋商文件规定的格式和顺序编制响应文件。除了响应文件封面以外，每个页面都要在明显位置编制页码，按流水顺序填写，字迹须清晰可认，响应性文件的目录须编序（此条不作为否定磋商投标因素）。响应性文件内容不完整、编排混乱导致被误读、漏读或者查找不到相关内容的，由供应商自行负责。</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3.7.3 响应文件应按竞争性磋商文件第二章供应商须知前附表3.7.3项的要求签字或盖章。</w:t>
      </w:r>
    </w:p>
    <w:p>
      <w:pPr>
        <w:pageBreakBefore w:val="0"/>
        <w:kinsoku/>
        <w:wordWrap w:val="0"/>
        <w:overflowPunct/>
        <w:topLinePunct w:val="0"/>
        <w:bidi w:val="0"/>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highlight w:val="none"/>
        </w:rPr>
        <w:t>3.7.4 未按本须知规定的格式填写响应性文件或上传解密电子响应文件、响应文件字迹模糊不清，导致磋商小组无法认定是否实质性响应竞争性磋商文件的,其响应文件将被作为无效响应文件。</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72" w:name="_Toc29159"/>
      <w:r>
        <w:rPr>
          <w:rFonts w:hint="eastAsia" w:ascii="宋体" w:hAnsi="宋体" w:eastAsia="宋体" w:cs="宋体"/>
          <w:b/>
          <w:color w:val="auto"/>
          <w:sz w:val="24"/>
          <w:szCs w:val="24"/>
          <w:highlight w:val="none"/>
        </w:rPr>
        <w:t>4.磋商</w:t>
      </w:r>
      <w:bookmarkEnd w:id="68"/>
      <w:bookmarkEnd w:id="69"/>
      <w:bookmarkEnd w:id="70"/>
      <w:bookmarkEnd w:id="71"/>
      <w:bookmarkEnd w:id="72"/>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73" w:name="_Toc1685"/>
      <w:r>
        <w:rPr>
          <w:rFonts w:hint="eastAsia"/>
          <w:b/>
          <w:bCs/>
          <w:color w:val="auto"/>
          <w:sz w:val="24"/>
          <w:szCs w:val="24"/>
          <w:highlight w:val="none"/>
        </w:rPr>
        <w:t>4.1响应文件的密封和标记</w:t>
      </w:r>
      <w:bookmarkEnd w:id="73"/>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highlight w:val="none"/>
        </w:rPr>
      </w:pPr>
      <w:bookmarkStart w:id="74" w:name="_Toc3612"/>
      <w:r>
        <w:rPr>
          <w:rFonts w:hint="eastAsia" w:ascii="宋体" w:hAnsi="宋体" w:cs="宋体"/>
          <w:color w:val="auto"/>
          <w:sz w:val="24"/>
          <w:highlight w:val="none"/>
        </w:rPr>
        <w:t>4.1.1加密的电子响应文件（.ZZTF格式，须在投标文件递交截止时间前，在郑州市公共资源交易中心（https://zzggzy.zhengzhou.gov.cn/）电子交易平台加密上传）。</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4.2响应文件的递交</w:t>
      </w:r>
      <w:bookmarkEnd w:id="74"/>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75" w:name="_Toc30432"/>
      <w:r>
        <w:rPr>
          <w:rFonts w:hint="eastAsia" w:ascii="宋体" w:hAnsi="宋体" w:cs="宋体"/>
          <w:color w:val="auto"/>
          <w:sz w:val="24"/>
          <w:highlight w:val="none"/>
        </w:rPr>
        <w:t>4.2.1 加密的电子响应文件（.ZZTF 格式）,应在响应文件截止时间前通过“郑州市公共资源交易中心（https://zzggzy.zhengzhou.gov.cn/）”电子交易平台内上传；在投标截止时间前上传至郑州市公共资源交易中心系统。</w:t>
      </w:r>
    </w:p>
    <w:p>
      <w:pPr>
        <w:pageBreakBefore w:val="0"/>
        <w:kinsoku/>
        <w:wordWrap w:val="0"/>
        <w:overflowPunct/>
        <w:topLinePunct w:val="0"/>
        <w:bidi w:val="0"/>
        <w:spacing w:line="360" w:lineRule="auto"/>
        <w:ind w:firstLine="480" w:firstLineChars="200"/>
        <w:rPr>
          <w:rFonts w:hint="eastAsia"/>
          <w:b/>
          <w:bCs/>
          <w:color w:val="auto"/>
          <w:sz w:val="24"/>
          <w:szCs w:val="24"/>
          <w:highlight w:val="none"/>
        </w:rPr>
      </w:pPr>
      <w:r>
        <w:rPr>
          <w:rFonts w:hint="eastAsia" w:ascii="宋体" w:hAnsi="宋体" w:cs="宋体"/>
          <w:color w:val="auto"/>
          <w:sz w:val="24"/>
          <w:highlight w:val="none"/>
        </w:rPr>
        <w:t>4.2.2 供应商必须使用企业 CA 密钥对本单位的加密电子响应文件进行解密。供应商用来解密的企业 CA 锁应与制作本项目电子响应文件时所用的 CA 锁为同一把锁，否则由此造成的无法解密或解密失败等问题由供应商自行承担。</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4.3响应文件的修改与撤回</w:t>
      </w:r>
      <w:bookmarkEnd w:id="75"/>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76" w:name="_Toc26031"/>
      <w:bookmarkStart w:id="77" w:name="_Toc10394"/>
      <w:bookmarkStart w:id="78" w:name="_Toc2489"/>
      <w:bookmarkStart w:id="79" w:name="_Toc25359"/>
      <w:r>
        <w:rPr>
          <w:rFonts w:hint="eastAsia" w:ascii="宋体" w:hAnsi="宋体" w:cs="宋体"/>
          <w:color w:val="auto"/>
          <w:sz w:val="24"/>
          <w:highlight w:val="none"/>
        </w:rPr>
        <w:t>4.3.1 在本章第 2.2.2 项规定的投标截止时间前，供应商在郑州市公共资源交易中心系统内撤回已上传的投标文件。</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4.3.2供应商有下列情形之一的，采购人将拒绝接受其响应性文件：</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（1）在竞争性磋商文件规定的递交竞争性磋商文件截止时间之后递交竞争性磋商文件的。</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（2）响应性文件未按竞争性磋商文件规定上传解密、密封的。</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highlight w:val="none"/>
        </w:rPr>
      </w:pPr>
      <w:r>
        <w:rPr>
          <w:rFonts w:hint="eastAsia" w:ascii="宋体" w:hAnsi="宋体" w:cs="宋体"/>
          <w:color w:val="auto"/>
          <w:sz w:val="24"/>
          <w:highlight w:val="none"/>
        </w:rPr>
        <w:t>（3）未按规定方式取得竞争性磋商文件参加磋商的。</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80" w:name="_Toc26614"/>
      <w:r>
        <w:rPr>
          <w:rFonts w:hint="eastAsia" w:ascii="宋体" w:hAnsi="宋体" w:eastAsia="宋体" w:cs="宋体"/>
          <w:b/>
          <w:color w:val="auto"/>
          <w:sz w:val="24"/>
          <w:szCs w:val="24"/>
          <w:highlight w:val="none"/>
        </w:rPr>
        <w:t>5.磋商开始</w:t>
      </w:r>
      <w:bookmarkEnd w:id="76"/>
      <w:bookmarkEnd w:id="77"/>
      <w:bookmarkEnd w:id="78"/>
      <w:bookmarkEnd w:id="79"/>
      <w:bookmarkEnd w:id="80"/>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81" w:name="_Toc26426"/>
      <w:bookmarkStart w:id="82" w:name="_Toc26559"/>
      <w:bookmarkStart w:id="83" w:name="_Toc24018"/>
      <w:bookmarkStart w:id="84" w:name="_Toc28951"/>
      <w:bookmarkStart w:id="85" w:name="_Toc10449"/>
      <w:bookmarkStart w:id="86" w:name="_Toc26398"/>
      <w:bookmarkStart w:id="87" w:name="_Toc28125"/>
      <w:bookmarkStart w:id="88" w:name="_Toc455080136"/>
      <w:bookmarkStart w:id="89" w:name="_Toc144974528"/>
      <w:bookmarkStart w:id="90" w:name="_Toc9969"/>
      <w:bookmarkStart w:id="91" w:name="_Toc25533"/>
      <w:bookmarkStart w:id="92" w:name="_Toc26899"/>
      <w:bookmarkStart w:id="93" w:name="_Toc152045560"/>
      <w:bookmarkStart w:id="94" w:name="_Toc20333"/>
      <w:bookmarkStart w:id="95" w:name="_Toc5752"/>
      <w:bookmarkStart w:id="96" w:name="_Toc14"/>
      <w:bookmarkStart w:id="97" w:name="_Toc31443"/>
      <w:bookmarkStart w:id="98" w:name="_Toc6734"/>
      <w:bookmarkStart w:id="99" w:name="_Toc25809"/>
      <w:bookmarkStart w:id="100" w:name="_Toc29764"/>
      <w:bookmarkStart w:id="101" w:name="_Toc29924"/>
      <w:bookmarkStart w:id="102" w:name="_Toc30946"/>
      <w:bookmarkStart w:id="103" w:name="_Toc9455"/>
      <w:bookmarkStart w:id="104" w:name="_Toc455867796"/>
      <w:bookmarkStart w:id="105" w:name="_Toc152042336"/>
      <w:bookmarkStart w:id="106" w:name="_Toc29562"/>
      <w:bookmarkStart w:id="107" w:name="_Toc2829"/>
      <w:bookmarkStart w:id="108" w:name="_Toc14450"/>
      <w:bookmarkStart w:id="109" w:name="_Toc18040"/>
      <w:bookmarkStart w:id="110" w:name="_Toc466298119"/>
      <w:bookmarkStart w:id="111" w:name="_Toc318450703"/>
      <w:bookmarkStart w:id="112" w:name="_Toc19577"/>
      <w:r>
        <w:rPr>
          <w:rFonts w:hint="eastAsia"/>
          <w:b/>
          <w:bCs/>
          <w:color w:val="auto"/>
          <w:sz w:val="24"/>
          <w:szCs w:val="24"/>
          <w:highlight w:val="none"/>
        </w:rPr>
        <w:t>5.1 磋商时间和地点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5.1.1 本项目采用电子开标，采购人在本章第2.2.2项规定的响应文件提交截止时间和供应商须知前附表规定的地点进行磋商。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宋体"/>
          <w:b/>
          <w:bCs/>
          <w:color w:val="auto"/>
          <w:sz w:val="24"/>
          <w:highlight w:val="none"/>
        </w:rPr>
      </w:pPr>
      <w:r>
        <w:rPr>
          <w:rFonts w:hint="eastAsia" w:ascii="宋体" w:hAnsi="宋体" w:cs="宋体"/>
          <w:color w:val="auto"/>
          <w:sz w:val="24"/>
          <w:highlight w:val="none"/>
        </w:rPr>
        <w:t>5.1.</w:t>
      </w:r>
      <w:r>
        <w:rPr>
          <w:rFonts w:hint="eastAsia" w:cs="宋体"/>
          <w:color w:val="auto"/>
          <w:sz w:val="24"/>
          <w:highlight w:val="none"/>
          <w:lang w:val="en-US" w:eastAsia="zh-CN"/>
        </w:rPr>
        <w:t>2</w:t>
      </w:r>
      <w:r>
        <w:rPr>
          <w:rFonts w:hint="eastAsia" w:ascii="宋体" w:hAnsi="宋体" w:cs="宋体"/>
          <w:color w:val="auto"/>
          <w:sz w:val="24"/>
          <w:highlight w:val="none"/>
        </w:rPr>
        <w:t>本项目采用不见面开标方式开标，供应商无需到交易中心现场参加开标会议。各供应商在响应文件递交截止时间前登陆郑州市公共资源交易中心门户网站远程开标大厅https://zzggzy.zhengzhou.gov.cn/BidOpening/）。所有供应商应提前30分钟登录“郑州市公共资源交易中心门户网站远程开标大厅”，先进行签到，其后应一直保持在线状态，保证能准时参加开标大会、响应文件的解密、现场答疑澄清、二轮报价等活动</w:t>
      </w:r>
      <w:r>
        <w:rPr>
          <w:rFonts w:hint="eastAsia" w:ascii="宋体" w:hAnsi="宋体" w:cs="宋体"/>
          <w:b/>
          <w:bCs/>
          <w:color w:val="auto"/>
          <w:sz w:val="24"/>
          <w:highlight w:val="none"/>
        </w:rPr>
        <w:t>。</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5.1.3 因加密电子响应文件未能成功上传或误传而导致的解密失败，投标将被拒绝。</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5.2磋商程序</w:t>
      </w:r>
      <w:bookmarkEnd w:id="112"/>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5.2.1 磋商小组对磋商文件进行熟悉确认。</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5.2.2 磋商小组推选组长，讨论、通过磋商工作流程和磋商要点。</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5.2.3 形式评审审查：磋商开始后，磋商小组依据磋商文件规定，对响应文件中的形式评审进行审查，以确定磋商供应商是否能够继续参与磋商。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5.2.4 资格评审审查：磋商开始后，磋商小组依据磋商文件规定，对通过形式评审的供应商进行审查，以确定磋商供应商是否具备参与磋商的资格。</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5.2.5 响应性评审审查：磋商开始后，磋商小组依据磋商文件规定，对通过资格评审的供应商进行审查，以确定磋商供应商是否能够继续参与磋商。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5.2.6 磋商小组对通过形式评审、资格评审、响应性评审的响应文件进行评估，确定与各竞标人磋商的具体内容。</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5.2.7 围绕磋商要点，磋商小组全体成员集中与单一供应商分别进行磋商。按各供应商递交响应文件的顺序进行磋商。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5.2.8 磋商过程中，磋商小组可以根据磋商情况实质性变动采购需求中的技术、参数要求以及合同草案条款，但不得变动磋商文件中的其他内容。实质性变动的内容需经采购人(业主)代表确认。并以书面形式通知所有参加磋商的供应商，该变动是磋商文件的有效组成部分。供应商应当按照磋商文件的变动情况和磋商小组的要求重新提交响应文件并由其法定代表人或其授权代表签字或者加盖公章。由授权代表签字的应当附法定代表人授权书。供应商为自然人的应当由本人签字并附身份证。供应商应根据磋商小组的要求，以书面形式在规定时间内做出响应，未做出响应的响应文件将被视为无效竞标。若磋商小组没有实质性变动采购需求中的技术、参数要求以及合同草案条款，则供应商的最终报价不得高于最高限价，否则按废标处理。</w:t>
      </w:r>
    </w:p>
    <w:p>
      <w:pPr>
        <w:pageBreakBefore w:val="0"/>
        <w:kinsoku/>
        <w:wordWrap w:val="0"/>
        <w:overflowPunct/>
        <w:topLinePunct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highlight w:val="none"/>
        </w:rPr>
        <w:t>5.2.9 磋商小组对符合采购需求的供应商进行两轮报价（响应文件中为第一轮报价、通过初步评审后现场报价为第二轮报价同为最终报价）；供应商只有通过形式评审、资格评审、响应性评审后方可进入下一轮报价，在规定的时间内同时提交报价，最终报价不得超过最高限价。</w:t>
      </w:r>
      <w:bookmarkStart w:id="113" w:name="_Toc12868"/>
      <w:bookmarkStart w:id="114" w:name="_Toc21129"/>
      <w:bookmarkStart w:id="115" w:name="_Toc5141"/>
      <w:bookmarkStart w:id="116" w:name="_Toc24615"/>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5.2.</w:t>
      </w:r>
      <w:r>
        <w:rPr>
          <w:rFonts w:hint="eastAsia"/>
          <w:color w:val="auto"/>
          <w:sz w:val="24"/>
          <w:szCs w:val="24"/>
          <w:highlight w:val="none"/>
          <w:lang w:val="en-US" w:eastAsia="zh-CN"/>
        </w:rPr>
        <w:t>10</w:t>
      </w:r>
      <w:r>
        <w:rPr>
          <w:rFonts w:hint="eastAsia"/>
          <w:color w:val="auto"/>
          <w:sz w:val="24"/>
          <w:szCs w:val="24"/>
          <w:highlight w:val="none"/>
        </w:rPr>
        <w:t>政府采购政策：</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本项目执行最新政府采购相关政策。在政府采购活动中，供应商提供的货物、工程或者服务符合下列情形的，可享受中小企业扶持政策：</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在货物采购项目中，货物由中小企业制造，即货物由中小企业生产且使用该中小企业商号或者注册商标；</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 xml:space="preserve">在工程采购项目中，工程由中小企业承建，即工程施工单位为中小企业； </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在服务采购项目中，服务由中小企业承接，即提供服务的人员为中小企业依照《中华人民共和国劳动合同法》订立劳动合同的从业人员。 </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在货物采购项目中，供应商提供的货物既有中小企业制造货物，也有大型企业制造货物的，不享受本办法规定的中小企业扶持政策。 </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号)和《关于进一步加大政府采购支持中小企业力度的通知》（财库〔2022〕19号），对于经主管预算单位统筹后为预留份额专门面向中小企业采购的货物、服务类项目，对于小型和微型企业的报价给予20%的扣除，用扣除后的价格参与评审。中小企业应当提供《中小企业声明函》，否则不予认可。</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根据《政府采购支持监狱企业发展有关问题的通知》（财库〔2014〕68号）的规定，对于监狱企业（视同小型、微型企业）的价格给予20%的扣除，用扣除后的价格参与评审。监狱企业参加政府采购活动时，应当提供由省级以上监狱管理局、戒毒管理局(含新疆生产建设兵团)出具的属于监狱企业的证明文件，否则不予认可。</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根据《关于促进残疾人就业政府采购政策的通知》（财库〔2017〕141号）的规定，对于残疾人福利性单位企业（视同小型、微型企业）的价格给予20%的扣除，用扣除后的价格参与评审。符合条件的残疾人福利性单位在参加政府采购活动时，应当按照（财库〔2017〕141号）的规定提供《残疾人福利性单位声明函》，并对声明的真实性负责，否则不予认可。</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政府采购属于“节能产品政府采购品目清单”中的产品时，供应商应当列明本项目中所投的“节能产品清单”并提供所投产品当前页截图等有效证明材料，否则不予认可。评标时涉及节能产品的将按《节能产品政府采购实施意见》(财库[2004]185号)的规定执行。</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政府采购属于“环境标志产品政府品目采购清单”中的产品时，供应商应当列明本项目中所投的“环境标志产品清单”并提供所投产品当前页截图等有效证明材料，否则不予认可。评标时涉及环境标志产品的将按《环境标志产品政府采购实施意见》(财库[2006]90号)的规定执行。</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政府采购属于“无限局域网认证产品政府采购清单”中的产品时，供应商应当列明本项目中所投的“无限局域网认证产品清单”并提供所投产品当前页截图等有效证明材料，否则不予认可。评标时涉及无限局域网认证产品的将按《无线局域网产品政府采购实施意见》(财库［2005］366号)的规定执行。</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 xml:space="preserve">关于计算机办公设备，必须执行国家版权局、信息产业部、财政部等部门规定，供应商所投货物必须是国家信息部、版权局、商务部等部门认可的预装正版操作系统软件的计算机产品。 </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采购货物为国家强制性认证产品的，必须符合强制性标准，否则认定其响应文件无效。</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优先采购本国产品。采购进口产品应符合《中华人民共和国政府采购法》并依法办理论证、审批手续。</w:t>
      </w:r>
    </w:p>
    <w:p>
      <w:pPr>
        <w:pageBreakBefore w:val="0"/>
        <w:kinsoku/>
        <w:wordWrap w:val="0"/>
        <w:overflowPunct/>
        <w:topLinePunct w:val="0"/>
        <w:bidi w:val="0"/>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采购信息安全产品的，应当采购经国家认证的信息安全产品，供应商应提供由中国信息安全认证中心按国家标准颁发的有效认证证书，否则认定其响应文件无效。</w:t>
      </w:r>
    </w:p>
    <w:p>
      <w:pPr>
        <w:pageBreakBefore w:val="0"/>
        <w:kinsoku/>
        <w:wordWrap w:val="0"/>
        <w:overflowPunct/>
        <w:topLinePunct w:val="0"/>
        <w:bidi w:val="0"/>
        <w:spacing w:line="360" w:lineRule="auto"/>
        <w:ind w:firstLine="480" w:firstLineChars="200"/>
        <w:rPr>
          <w:rFonts w:hint="eastAsia" w:ascii="宋体" w:hAnsi="宋体" w:cs="宋体"/>
          <w:color w:val="auto"/>
          <w:highlight w:val="none"/>
        </w:rPr>
      </w:pPr>
      <w:r>
        <w:rPr>
          <w:rFonts w:hint="eastAsia" w:ascii="宋体" w:hAnsi="宋体" w:cs="宋体"/>
          <w:color w:val="auto"/>
          <w:sz w:val="24"/>
          <w:highlight w:val="none"/>
        </w:rPr>
        <w:t>5.2.1</w:t>
      </w:r>
      <w:r>
        <w:rPr>
          <w:rFonts w:hint="eastAsia" w:cs="宋体"/>
          <w:color w:val="auto"/>
          <w:sz w:val="24"/>
          <w:highlight w:val="none"/>
          <w:lang w:val="en-US" w:eastAsia="zh-CN"/>
        </w:rPr>
        <w:t>1</w:t>
      </w:r>
      <w:r>
        <w:rPr>
          <w:rFonts w:hint="eastAsia" w:ascii="宋体" w:hAnsi="宋体" w:cs="宋体"/>
          <w:color w:val="auto"/>
          <w:sz w:val="24"/>
          <w:highlight w:val="none"/>
        </w:rPr>
        <w:t xml:space="preserve"> 经磋商确定最终采购需求，由磋商小组采用综合评分法对通过初步评审的供应商的响应文件进行综合评分。</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117" w:name="_Toc28002"/>
      <w:r>
        <w:rPr>
          <w:rFonts w:hint="eastAsia" w:ascii="宋体" w:hAnsi="宋体" w:eastAsia="宋体" w:cs="宋体"/>
          <w:b/>
          <w:color w:val="auto"/>
          <w:sz w:val="24"/>
          <w:szCs w:val="24"/>
          <w:highlight w:val="none"/>
        </w:rPr>
        <w:t>6.磋商小组</w:t>
      </w:r>
      <w:bookmarkEnd w:id="113"/>
      <w:bookmarkEnd w:id="114"/>
      <w:bookmarkEnd w:id="115"/>
      <w:bookmarkEnd w:id="116"/>
      <w:bookmarkEnd w:id="117"/>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18" w:name="_Toc20929"/>
      <w:r>
        <w:rPr>
          <w:rFonts w:hint="eastAsia"/>
          <w:b/>
          <w:bCs/>
          <w:color w:val="auto"/>
          <w:sz w:val="24"/>
          <w:szCs w:val="24"/>
          <w:highlight w:val="none"/>
        </w:rPr>
        <w:t>6.1磋商小组</w:t>
      </w:r>
      <w:bookmarkEnd w:id="118"/>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磋商由采购人依法组建的磋商小组负责。磋商小组由技术、经济等方面的专家组成。磋商小组成员人数以及技术、经济等方面专家的确定方式见供应商须知前附表。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19" w:name="_Toc334"/>
      <w:r>
        <w:rPr>
          <w:rFonts w:hint="eastAsia"/>
          <w:b/>
          <w:bCs/>
          <w:color w:val="auto"/>
          <w:sz w:val="24"/>
          <w:szCs w:val="24"/>
          <w:highlight w:val="none"/>
        </w:rPr>
        <w:t>6.2磋商原则</w:t>
      </w:r>
      <w:bookmarkEnd w:id="119"/>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磋商活动遵循公平、公正、科学和择优的原则。</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20" w:name="_Toc1726"/>
      <w:r>
        <w:rPr>
          <w:rFonts w:hint="eastAsia"/>
          <w:b/>
          <w:bCs/>
          <w:color w:val="auto"/>
          <w:sz w:val="24"/>
          <w:szCs w:val="24"/>
          <w:highlight w:val="none"/>
        </w:rPr>
        <w:t>6.3磋商</w:t>
      </w:r>
      <w:bookmarkEnd w:id="120"/>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6.3.1磋商小组按照第三章“评审办法”规定的方法、评审因素、标准和程序对响应文件进行评审。第三章“评审办法”没有规定的方法、评审因素和标准，不作为评标依据。</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6.3.2详细磋商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磋商小组将允许供应商修改其磋商响应文件中不构成重大偏离的微小的、非正规的、不一致的或不规则的地方，但这些修改不能影响任何供应商的名次相应排列。为有助于对磋商响应文件的审查、评价和比较，磋商小组可分别要求供应商对磋商响应文件中含义不清的内容进行澄清。有关澄清的要求和答复均须以线上形式，但磋商的实质性内容不得更改。</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（2）若磋商内容有实质性变动的，磋商小组应当以书面形式通知所有参加磋商的供应商。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（3）磋商结束后，磋商小组将要求所有符合招标需求的供应商在规定的时间内同时进行报价（二次报价），即最终报价。【</w:t>
      </w:r>
      <w:r>
        <w:rPr>
          <w:rFonts w:hint="eastAsia" w:ascii="宋体" w:hAnsi="宋体" w:cs="宋体"/>
          <w:b/>
          <w:bCs/>
          <w:color w:val="auto"/>
          <w:sz w:val="24"/>
          <w:highlight w:val="none"/>
        </w:rPr>
        <w:t>注：1、最终报价不得超出第一轮报价和采购人预算价；2、最终报价明显低于成本价的，供应商需做出合理说明，否则将承担不被接受的风险；3、在规定时间内未二次报价的供应商，则第一次报价视为最终报价。</w:t>
      </w:r>
      <w:r>
        <w:rPr>
          <w:rFonts w:hint="eastAsia" w:ascii="宋体" w:hAnsi="宋体" w:cs="宋体"/>
          <w:color w:val="auto"/>
          <w:sz w:val="24"/>
          <w:highlight w:val="none"/>
        </w:rPr>
        <w:t>】</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（4）供应商通过初步评审后，方可进行第二次报价，第一次报价为磋商响应文件中的报价，第二次报价为最终报价，按第二次报价计算供应商的报价得分。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（5）磋商小组按照磋商文件采用综合评分法对通过初步评审的有效供应商的响应文件进行综合评分，按综合得分由高到低的顺序推荐</w:t>
      </w:r>
      <w:r>
        <w:rPr>
          <w:rFonts w:hint="eastAsia" w:cs="宋体"/>
          <w:color w:val="auto"/>
          <w:sz w:val="24"/>
          <w:highlight w:val="none"/>
          <w:lang w:val="en-US" w:eastAsia="zh-CN"/>
        </w:rPr>
        <w:t>1-</w:t>
      </w:r>
      <w:r>
        <w:rPr>
          <w:rFonts w:hint="eastAsia" w:ascii="宋体" w:hAnsi="宋体" w:cs="宋体"/>
          <w:color w:val="auto"/>
          <w:sz w:val="24"/>
          <w:highlight w:val="none"/>
        </w:rPr>
        <w:t>3名成交候选人，由磋商小组在磋商报告上签字。</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6.3.3磋商结束后，采购人从磋商小组提出的成交候选人中根据中标原则确定中标供应商，并将结果通知未中标供应商。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21" w:name="_Toc10010"/>
      <w:r>
        <w:rPr>
          <w:rFonts w:hint="eastAsia"/>
          <w:b/>
          <w:bCs/>
          <w:color w:val="auto"/>
          <w:sz w:val="24"/>
          <w:szCs w:val="24"/>
          <w:highlight w:val="none"/>
        </w:rPr>
        <w:t>6.4磋商过程的保密性</w:t>
      </w:r>
      <w:bookmarkEnd w:id="121"/>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122" w:name="_Toc11569"/>
      <w:r>
        <w:rPr>
          <w:rFonts w:hint="eastAsia" w:ascii="宋体" w:hAnsi="宋体" w:cs="宋体"/>
          <w:color w:val="auto"/>
          <w:sz w:val="24"/>
          <w:highlight w:val="none"/>
        </w:rPr>
        <w:t>6.4.1 磋商期间，直到授予成交人合同止，凡是与磋商响应文件审查、澄清、评价、比较以及推荐成交人等方面的情况，均不得向供应商或其他无关的人员透露。</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6.4.2 在磋商过程中，供应商如向磋商小组成员施加任何影响，都将会导致其磋商被拒绝，招标监管部门将记录其不良行为。</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6.5评定标准</w:t>
      </w:r>
      <w:bookmarkEnd w:id="122"/>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123" w:name="_Toc14812"/>
      <w:r>
        <w:rPr>
          <w:rFonts w:hint="eastAsia" w:ascii="宋体" w:hAnsi="宋体" w:cs="宋体"/>
          <w:color w:val="auto"/>
          <w:sz w:val="24"/>
          <w:highlight w:val="none"/>
        </w:rPr>
        <w:t>6.5.1</w:t>
      </w:r>
      <w:r>
        <w:rPr>
          <w:rFonts w:hint="eastAsia" w:ascii="宋体" w:hAnsi="宋体" w:cs="宋体"/>
          <w:color w:val="auto"/>
          <w:highlight w:val="none"/>
        </w:rPr>
        <w:t xml:space="preserve"> </w:t>
      </w:r>
      <w:r>
        <w:rPr>
          <w:rFonts w:hint="eastAsia" w:ascii="宋体" w:hAnsi="宋体" w:cs="宋体"/>
          <w:color w:val="auto"/>
          <w:sz w:val="24"/>
          <w:highlight w:val="none"/>
        </w:rPr>
        <w:t>依据相关法律法规的要求，根据符合项目需求、质量和服务的前提，磋商小组按照综合得分由高到低的顺序推荐3名成交候选人。评审得分相同的，按照最后报价由低到高的顺序推荐。评审得分且最后报价相同的，按照技术指标优劣顺序推荐。采购人根据磋商小组的推荐意见，最终确定成交人。</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6.6磋商结果公示</w:t>
      </w:r>
      <w:bookmarkEnd w:id="123"/>
    </w:p>
    <w:p>
      <w:pPr>
        <w:pageBreakBefore w:val="0"/>
        <w:kinsoku/>
        <w:wordWrap w:val="0"/>
        <w:overflowPunct/>
        <w:topLinePunct w:val="0"/>
        <w:bidi w:val="0"/>
        <w:spacing w:line="360" w:lineRule="auto"/>
        <w:ind w:firstLine="480" w:firstLineChars="200"/>
        <w:rPr>
          <w:rFonts w:hint="eastAsia" w:ascii="宋体" w:hAnsi="宋体" w:cs="宋体"/>
          <w:color w:val="auto"/>
          <w:highlight w:val="none"/>
        </w:rPr>
      </w:pPr>
      <w:bookmarkStart w:id="124" w:name="_Toc13539"/>
      <w:bookmarkStart w:id="125" w:name="_Toc6647"/>
      <w:bookmarkStart w:id="126" w:name="_Toc31160"/>
      <w:bookmarkStart w:id="127" w:name="_Toc911"/>
      <w:r>
        <w:rPr>
          <w:rFonts w:hint="eastAsia" w:ascii="宋体" w:hAnsi="宋体" w:cs="宋体"/>
          <w:color w:val="auto"/>
          <w:sz w:val="24"/>
          <w:highlight w:val="none"/>
        </w:rPr>
        <w:t>6.6.1 采购人在按规定确定</w:t>
      </w:r>
      <w:r>
        <w:rPr>
          <w:rFonts w:hint="eastAsia" w:cs="宋体"/>
          <w:color w:val="auto"/>
          <w:sz w:val="24"/>
          <w:highlight w:val="none"/>
          <w:lang w:val="en-US" w:eastAsia="zh-CN"/>
        </w:rPr>
        <w:t>成交</w:t>
      </w:r>
      <w:r>
        <w:rPr>
          <w:rFonts w:hint="eastAsia" w:ascii="宋体" w:hAnsi="宋体" w:cs="宋体"/>
          <w:color w:val="auto"/>
          <w:sz w:val="24"/>
          <w:highlight w:val="none"/>
        </w:rPr>
        <w:t>人之日起1个工作日，将中标结果的情况在本招标项目竞争性磋商公告发布的同一媒介予以公告。同时向</w:t>
      </w:r>
      <w:r>
        <w:rPr>
          <w:rFonts w:hint="eastAsia" w:cs="宋体"/>
          <w:color w:val="auto"/>
          <w:sz w:val="24"/>
          <w:highlight w:val="none"/>
          <w:lang w:val="en-US" w:eastAsia="zh-CN"/>
        </w:rPr>
        <w:t>成交</w:t>
      </w:r>
      <w:r>
        <w:rPr>
          <w:rFonts w:hint="eastAsia" w:ascii="宋体" w:hAnsi="宋体" w:cs="宋体"/>
          <w:color w:val="auto"/>
          <w:sz w:val="24"/>
          <w:highlight w:val="none"/>
        </w:rPr>
        <w:t>人发出中标通知书，中标通知书是合同的组成部分。公告期内，有关行政监督部门接到投诉的，可视具体情况书面通知采购人暂停发出中标通知书。</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128" w:name="_Toc4993"/>
      <w:r>
        <w:rPr>
          <w:rFonts w:hint="eastAsia" w:ascii="宋体" w:hAnsi="宋体" w:eastAsia="宋体" w:cs="宋体"/>
          <w:b/>
          <w:color w:val="auto"/>
          <w:sz w:val="24"/>
          <w:szCs w:val="24"/>
          <w:highlight w:val="none"/>
        </w:rPr>
        <w:t>7.合同授予</w:t>
      </w:r>
      <w:bookmarkEnd w:id="124"/>
      <w:bookmarkEnd w:id="125"/>
      <w:bookmarkEnd w:id="126"/>
      <w:bookmarkEnd w:id="127"/>
      <w:bookmarkEnd w:id="128"/>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29" w:name="_Toc124"/>
      <w:r>
        <w:rPr>
          <w:rFonts w:hint="eastAsia"/>
          <w:b/>
          <w:bCs/>
          <w:color w:val="auto"/>
          <w:sz w:val="24"/>
          <w:szCs w:val="24"/>
          <w:highlight w:val="none"/>
        </w:rPr>
        <w:t>7.1定标方式</w:t>
      </w:r>
      <w:bookmarkEnd w:id="129"/>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130" w:name="_Toc29016"/>
      <w:r>
        <w:rPr>
          <w:rFonts w:hint="eastAsia" w:ascii="宋体" w:hAnsi="宋体" w:cs="宋体"/>
          <w:color w:val="auto"/>
          <w:sz w:val="24"/>
          <w:highlight w:val="none"/>
        </w:rPr>
        <w:t>除供应商须知前附表规定磋商小组直接确定成交人外，采购人依据磋商小组推荐的成交候选人确定成交人，磋商小组推荐成交候选人的人数见供应商须知前附表。采购人将依序确定排名第一的供应商为成交人，若第一成交候选人放弃成交、因不可抗力不能履行合同、不按照磋商文件要求提交履约保证金，或者被查实存在影响成交结果的违法行为等情形，不符合成交条件的，采购人可以按照磋商小组提出的成交候选人名单排序依次确定其他成交候选人为成交人，也可以重新磋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7.2成交通知</w:t>
      </w:r>
      <w:bookmarkEnd w:id="130"/>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131" w:name="_Toc18109"/>
      <w:r>
        <w:rPr>
          <w:rFonts w:hint="eastAsia" w:ascii="宋体" w:hAnsi="宋体" w:cs="宋体"/>
          <w:color w:val="auto"/>
          <w:sz w:val="24"/>
          <w:highlight w:val="none"/>
        </w:rPr>
        <w:t>在本章第3.3款规定的磋商有效期内，采购人以书面形式向成交人发出成交通知书，同时将成交结果通知未成交的供应商。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7.3签订合同</w:t>
      </w:r>
      <w:bookmarkEnd w:id="131"/>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132" w:name="_Toc10041"/>
      <w:bookmarkStart w:id="133" w:name="_Toc13205"/>
      <w:bookmarkStart w:id="134" w:name="_Toc11920"/>
      <w:bookmarkStart w:id="135" w:name="_Toc26702"/>
      <w:r>
        <w:rPr>
          <w:rFonts w:hint="eastAsia" w:ascii="宋体" w:hAnsi="宋体" w:cs="宋体"/>
          <w:color w:val="auto"/>
          <w:sz w:val="24"/>
          <w:highlight w:val="none"/>
        </w:rPr>
        <w:t xml:space="preserve">7.3.1采购人和成交人应当自成交通知书发出之日起2个工作日内，根据磋商文件和成交人的响应文件订立书面合同。成交人无正当理由拒签合同的，采购人取消其成交资格，其磋商保证金不予退还；给采购人造成的损失超过磋商保证金数额的，成交人还应当对超过部分予以赔偿。 </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7.3.2 发出成交通知书后，采购人无正当理由拒签合同的，采购人向成交人退还投标保证金；给成交人造成损失的，还应当赔偿损失。 </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7.3.3合同签订后1个工作日内在</w:t>
      </w:r>
      <w:r>
        <w:rPr>
          <w:rFonts w:hint="eastAsia" w:cs="宋体"/>
          <w:color w:val="auto"/>
          <w:sz w:val="24"/>
          <w:highlight w:val="none"/>
          <w:lang w:val="en-US" w:eastAsia="zh-CN"/>
        </w:rPr>
        <w:t>高新</w:t>
      </w:r>
      <w:r>
        <w:rPr>
          <w:rFonts w:hint="eastAsia" w:ascii="宋体" w:hAnsi="宋体" w:cs="宋体"/>
          <w:color w:val="auto"/>
          <w:sz w:val="24"/>
          <w:highlight w:val="none"/>
        </w:rPr>
        <w:t xml:space="preserve">区政府采购网进行合同公告。 </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136" w:name="_Toc30315"/>
      <w:r>
        <w:rPr>
          <w:rFonts w:hint="eastAsia" w:ascii="宋体" w:hAnsi="宋体" w:eastAsia="宋体" w:cs="宋体"/>
          <w:b/>
          <w:color w:val="auto"/>
          <w:sz w:val="24"/>
          <w:szCs w:val="24"/>
          <w:highlight w:val="none"/>
        </w:rPr>
        <w:t>8.重新招标</w:t>
      </w:r>
      <w:bookmarkEnd w:id="132"/>
      <w:bookmarkEnd w:id="133"/>
      <w:bookmarkEnd w:id="134"/>
      <w:bookmarkEnd w:id="135"/>
      <w:bookmarkEnd w:id="136"/>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37" w:name="_Toc4428"/>
      <w:r>
        <w:rPr>
          <w:rFonts w:hint="eastAsia"/>
          <w:b/>
          <w:bCs/>
          <w:color w:val="auto"/>
          <w:sz w:val="24"/>
          <w:szCs w:val="24"/>
          <w:highlight w:val="none"/>
        </w:rPr>
        <w:t>8.1重新招标</w:t>
      </w:r>
      <w:bookmarkEnd w:id="137"/>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有下列情形之一的，采购人将重新招标：</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（1）交响应文件截止时间止，供应商少于3个的；</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（2）经磋商小组评审后否决所有响应文件的。</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138" w:name="_Toc9357"/>
      <w:bookmarkStart w:id="139" w:name="_Toc21618"/>
      <w:bookmarkStart w:id="140" w:name="_Toc24063"/>
      <w:bookmarkStart w:id="141" w:name="_Toc31506"/>
      <w:bookmarkStart w:id="142" w:name="_Toc17652"/>
      <w:r>
        <w:rPr>
          <w:rFonts w:hint="eastAsia" w:ascii="宋体" w:hAnsi="宋体" w:eastAsia="宋体" w:cs="宋体"/>
          <w:b/>
          <w:color w:val="auto"/>
          <w:sz w:val="24"/>
          <w:szCs w:val="24"/>
          <w:highlight w:val="none"/>
        </w:rPr>
        <w:t>9.纪律和监督</w:t>
      </w:r>
      <w:bookmarkEnd w:id="138"/>
      <w:bookmarkEnd w:id="139"/>
      <w:bookmarkEnd w:id="140"/>
      <w:bookmarkEnd w:id="141"/>
      <w:bookmarkEnd w:id="142"/>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43" w:name="_Toc23312"/>
      <w:r>
        <w:rPr>
          <w:rFonts w:hint="eastAsia"/>
          <w:b/>
          <w:bCs/>
          <w:color w:val="auto"/>
          <w:sz w:val="24"/>
          <w:szCs w:val="24"/>
          <w:highlight w:val="none"/>
        </w:rPr>
        <w:t>9.1对采购人的纪律要求</w:t>
      </w:r>
      <w:bookmarkEnd w:id="143"/>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采购人不得泄漏磋商活动中应当保密的情况和资料，不得与供应商串通损害国家利益、社会公共利益或者他人合法权益。</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44" w:name="_Toc30644"/>
      <w:r>
        <w:rPr>
          <w:rFonts w:hint="eastAsia"/>
          <w:b/>
          <w:bCs/>
          <w:color w:val="auto"/>
          <w:sz w:val="24"/>
          <w:szCs w:val="24"/>
          <w:highlight w:val="none"/>
        </w:rPr>
        <w:t>9.2对供应商的纪律要求</w:t>
      </w:r>
      <w:bookmarkEnd w:id="144"/>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供应商不得相互串通或者与采购人串通，不得向采购人或者磋商小组行贿谋取成交，不得以他人名义或者以其他方式弄虚作假骗取成交；供应商不得以任何方式干扰、影响评审工作。</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45" w:name="_Toc28220"/>
      <w:r>
        <w:rPr>
          <w:rFonts w:hint="eastAsia"/>
          <w:b/>
          <w:bCs/>
          <w:color w:val="auto"/>
          <w:sz w:val="24"/>
          <w:szCs w:val="24"/>
          <w:highlight w:val="none"/>
        </w:rPr>
        <w:t>9.3对磋商小组成员的纪律要求</w:t>
      </w:r>
      <w:bookmarkEnd w:id="145"/>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磋商小组成员不得收受他人的财物或者其他好处，不得向他人透漏对响应文件的评审和比较、成交候选人的推荐情况以及评标有关的其他情况。在磋商活动中，磋商小组成员不得擅离职守，影响评标程序正常进行，不得使用第三章“评审办法”没有规定的评审因素和标准进行评标。</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bookmarkStart w:id="146" w:name="_Toc19322"/>
      <w:r>
        <w:rPr>
          <w:rFonts w:hint="eastAsia"/>
          <w:b/>
          <w:bCs/>
          <w:color w:val="auto"/>
          <w:sz w:val="24"/>
          <w:szCs w:val="24"/>
          <w:highlight w:val="none"/>
        </w:rPr>
        <w:t>9.4对与磋商活动有关的工作人员的纪律要求</w:t>
      </w:r>
      <w:bookmarkEnd w:id="146"/>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bookmarkStart w:id="147" w:name="_Toc152042355"/>
      <w:bookmarkStart w:id="148" w:name="_Toc16050"/>
      <w:r>
        <w:rPr>
          <w:rFonts w:hint="eastAsia" w:ascii="宋体" w:hAnsi="宋体" w:cs="宋体"/>
          <w:color w:val="auto"/>
          <w:sz w:val="24"/>
          <w:highlight w:val="none"/>
        </w:rPr>
        <w:t>与磋商活动有关的工作人员不得收受他人的财物或者其他好处，不得向他人透漏对响应文件的评审和比较、成交候选人的推荐情况以及磋商有关的其他情况。在磋商活动中，与磋商活动有关的工作人员不得擅离职守，影响磋商程序正常进行。</w:t>
      </w:r>
      <w:bookmarkEnd w:id="147"/>
    </w:p>
    <w:p>
      <w:pPr>
        <w:keepNext w:val="0"/>
        <w:keepLines w:val="0"/>
        <w:pageBreakBefore w:val="0"/>
        <w:widowControl w:val="0"/>
        <w:kinsoku/>
        <w:wordWrap w:val="0"/>
        <w:overflowPunct/>
        <w:topLinePunct w:val="0"/>
        <w:autoSpaceDE w:val="0"/>
        <w:autoSpaceDN w:val="0"/>
        <w:bidi w:val="0"/>
        <w:adjustRightInd/>
        <w:snapToGrid/>
        <w:spacing w:line="360" w:lineRule="auto"/>
        <w:ind w:firstLine="482" w:firstLineChars="200"/>
        <w:textAlignment w:val="auto"/>
        <w:rPr>
          <w:rFonts w:hint="eastAsia"/>
          <w:b/>
          <w:bCs/>
          <w:color w:val="auto"/>
          <w:sz w:val="24"/>
          <w:szCs w:val="24"/>
          <w:highlight w:val="none"/>
        </w:rPr>
      </w:pPr>
      <w:r>
        <w:rPr>
          <w:rFonts w:hint="eastAsia"/>
          <w:b/>
          <w:bCs/>
          <w:color w:val="auto"/>
          <w:sz w:val="24"/>
          <w:szCs w:val="24"/>
          <w:highlight w:val="none"/>
        </w:rPr>
        <w:t>9.5投诉</w:t>
      </w:r>
      <w:bookmarkEnd w:id="148"/>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供应商和其他利害关系人认为本次磋商活动违反法律、法规和规章规定的，有权向有关行政监督部门投诉。</w:t>
      </w:r>
    </w:p>
    <w:p>
      <w:pPr>
        <w:pStyle w:val="4"/>
        <w:keepNext/>
        <w:keepLines/>
        <w:pageBreakBefore w:val="0"/>
        <w:widowControl w:val="0"/>
        <w:kinsoku/>
        <w:wordWrap w:val="0"/>
        <w:overflowPunct/>
        <w:topLinePunct w:val="0"/>
        <w:autoSpaceDE w:val="0"/>
        <w:autoSpaceDN w:val="0"/>
        <w:bidi w:val="0"/>
        <w:adjustRightInd/>
        <w:snapToGrid/>
        <w:spacing w:before="0" w:beforeLines="50" w:after="0" w:afterLines="50" w:line="240" w:lineRule="auto"/>
        <w:ind w:left="0" w:leftChars="0" w:firstLine="482" w:firstLineChars="200"/>
        <w:jc w:val="left"/>
        <w:textAlignment w:val="auto"/>
        <w:outlineLvl w:val="1"/>
        <w:rPr>
          <w:rFonts w:hint="eastAsia" w:ascii="宋体" w:hAnsi="宋体" w:eastAsia="宋体" w:cs="宋体"/>
          <w:b/>
          <w:color w:val="auto"/>
          <w:sz w:val="24"/>
          <w:szCs w:val="24"/>
          <w:highlight w:val="none"/>
        </w:rPr>
      </w:pPr>
      <w:bookmarkStart w:id="149" w:name="_Toc28798"/>
      <w:bookmarkStart w:id="150" w:name="_Toc29333"/>
      <w:bookmarkStart w:id="151" w:name="_Toc21425"/>
      <w:bookmarkStart w:id="152" w:name="_Toc7138"/>
      <w:bookmarkStart w:id="153" w:name="_Toc20859"/>
      <w:r>
        <w:rPr>
          <w:rFonts w:hint="eastAsia" w:ascii="宋体" w:hAnsi="宋体" w:eastAsia="宋体" w:cs="宋体"/>
          <w:b/>
          <w:color w:val="auto"/>
          <w:sz w:val="24"/>
          <w:szCs w:val="24"/>
          <w:highlight w:val="none"/>
        </w:rPr>
        <w:t>10.需要补充的其他内容</w:t>
      </w:r>
      <w:bookmarkEnd w:id="149"/>
      <w:bookmarkEnd w:id="150"/>
      <w:bookmarkEnd w:id="151"/>
      <w:bookmarkEnd w:id="152"/>
      <w:bookmarkEnd w:id="153"/>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cs="宋体"/>
          <w:color w:val="auto"/>
          <w:sz w:val="24"/>
          <w:highlight w:val="none"/>
          <w:lang w:val="en-US" w:eastAsia="zh-CN"/>
        </w:rPr>
        <w:t>高新区</w:t>
      </w:r>
      <w:r>
        <w:rPr>
          <w:rFonts w:hint="eastAsia" w:ascii="宋体" w:hAnsi="宋体" w:eastAsia="宋体" w:cs="宋体"/>
          <w:color w:val="auto"/>
          <w:sz w:val="24"/>
          <w:highlight w:val="none"/>
          <w:lang w:val="en-US" w:eastAsia="zh-CN"/>
        </w:rPr>
        <w:t>政府采购合同融资政策告知函：见下页。</w:t>
      </w:r>
    </w:p>
    <w:p>
      <w:pPr>
        <w:pageBreakBefore w:val="0"/>
        <w:kinsoku/>
        <w:wordWrap w:val="0"/>
        <w:overflowPunct/>
        <w:topLinePunct w:val="0"/>
        <w:bidi w:val="0"/>
        <w:spacing w:line="360" w:lineRule="auto"/>
        <w:ind w:firstLine="44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Cs w:val="21"/>
          <w:highlight w:val="none"/>
          <w:lang w:val="en-US" w:eastAsia="zh-CN"/>
        </w:rPr>
        <w:t>2</w:t>
      </w:r>
      <w:r>
        <w:rPr>
          <w:rFonts w:hint="eastAsia" w:cs="宋体"/>
          <w:color w:val="auto"/>
          <w:szCs w:val="21"/>
          <w:highlight w:val="none"/>
          <w:lang w:val="en-US" w:eastAsia="zh-CN"/>
        </w:rPr>
        <w:t>.</w:t>
      </w:r>
      <w:r>
        <w:rPr>
          <w:rFonts w:hint="eastAsia" w:ascii="宋体" w:hAnsi="宋体" w:eastAsia="宋体" w:cs="宋体"/>
          <w:color w:val="auto"/>
          <w:szCs w:val="21"/>
          <w:highlight w:val="none"/>
        </w:rPr>
        <w:t>根据财政部办公厅“关于印发《商品包装政府采购需求标准（试行）》、《快递包装政府采购需求标准（试行）》的通知”（财办库〔2020〕123号）文件规定，若项目涉及商品包装和快递包装的应符合《商品包装政府采购需求标准（试行）》和《快递包装政府采购需求标准（试行）》规定。</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cs="宋体"/>
          <w:color w:val="auto"/>
          <w:sz w:val="24"/>
          <w:highlight w:val="none"/>
          <w:lang w:val="en-US" w:eastAsia="zh-CN"/>
        </w:rPr>
        <w:t>3</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需要补充的其他内容：见供应商须知前附表。</w:t>
      </w:r>
    </w:p>
    <w:p>
      <w:pPr>
        <w:pageBreakBefore w:val="0"/>
        <w:kinsoku/>
        <w:wordWrap w:val="0"/>
        <w:overflowPunct/>
        <w:topLinePunct w:val="0"/>
        <w:bidi w:val="0"/>
        <w:ind w:firstLine="422" w:firstLineChars="200"/>
        <w:rPr>
          <w:b/>
          <w:color w:val="auto"/>
          <w:sz w:val="21"/>
          <w:highlight w:val="none"/>
        </w:rPr>
      </w:pPr>
      <w:r>
        <w:rPr>
          <w:b/>
          <w:color w:val="auto"/>
          <w:sz w:val="21"/>
          <w:highlight w:val="none"/>
        </w:rPr>
        <w:br w:type="page"/>
      </w:r>
    </w:p>
    <w:p>
      <w:pPr>
        <w:pStyle w:val="22"/>
        <w:pageBreakBefore w:val="0"/>
        <w:kinsoku/>
        <w:wordWrap w:val="0"/>
        <w:overflowPunct/>
        <w:topLinePunct w:val="0"/>
        <w:bidi w:val="0"/>
        <w:spacing w:beforeAutospacing="0" w:after="300" w:afterAutospacing="0" w:line="315" w:lineRule="atLeast"/>
        <w:rPr>
          <w:rFonts w:hint="eastAsia"/>
          <w:color w:val="auto"/>
          <w:sz w:val="21"/>
          <w:szCs w:val="21"/>
          <w:highlight w:val="none"/>
        </w:rPr>
      </w:pPr>
      <w:r>
        <w:rPr>
          <w:rFonts w:hint="eastAsia"/>
          <w:color w:val="auto"/>
          <w:sz w:val="21"/>
          <w:szCs w:val="21"/>
          <w:highlight w:val="none"/>
          <w:shd w:val="clear" w:color="auto" w:fill="FFFFFF"/>
        </w:rPr>
        <w:t>附件：</w:t>
      </w:r>
    </w:p>
    <w:p>
      <w:pPr>
        <w:pStyle w:val="22"/>
        <w:pageBreakBefore w:val="0"/>
        <w:kinsoku/>
        <w:wordWrap w:val="0"/>
        <w:overflowPunct/>
        <w:topLinePunct w:val="0"/>
        <w:bidi w:val="0"/>
        <w:spacing w:beforeAutospacing="0" w:after="300" w:afterAutospacing="0" w:line="315" w:lineRule="atLeast"/>
        <w:jc w:val="center"/>
        <w:rPr>
          <w:rFonts w:hint="eastAsia"/>
          <w:b/>
          <w:bCs/>
          <w:color w:val="auto"/>
          <w:sz w:val="28"/>
          <w:szCs w:val="28"/>
          <w:highlight w:val="none"/>
        </w:rPr>
      </w:pPr>
      <w:r>
        <w:rPr>
          <w:rFonts w:hint="eastAsia"/>
          <w:b/>
          <w:bCs/>
          <w:color w:val="auto"/>
          <w:sz w:val="28"/>
          <w:szCs w:val="28"/>
          <w:highlight w:val="none"/>
          <w:shd w:val="clear" w:color="auto" w:fill="FFFFFF"/>
        </w:rPr>
        <w:t>郑州市</w:t>
      </w:r>
      <w:r>
        <w:rPr>
          <w:rFonts w:hint="eastAsia"/>
          <w:b/>
          <w:bCs/>
          <w:color w:val="auto"/>
          <w:sz w:val="28"/>
          <w:szCs w:val="28"/>
          <w:highlight w:val="none"/>
          <w:shd w:val="clear" w:color="auto" w:fill="FFFFFF"/>
          <w:lang w:eastAsia="zh-CN"/>
        </w:rPr>
        <w:t>高新区</w:t>
      </w:r>
      <w:r>
        <w:rPr>
          <w:rFonts w:hint="eastAsia"/>
          <w:b/>
          <w:bCs/>
          <w:color w:val="auto"/>
          <w:sz w:val="28"/>
          <w:szCs w:val="28"/>
          <w:highlight w:val="none"/>
          <w:shd w:val="clear" w:color="auto" w:fill="FFFFFF"/>
        </w:rPr>
        <w:t>政府采购合同融资政策告知函</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各供应商：</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欢迎贵公司参与郑州市</w:t>
      </w:r>
      <w:r>
        <w:rPr>
          <w:rFonts w:hint="eastAsia" w:ascii="宋体" w:hAnsi="宋体" w:cs="宋体"/>
          <w:color w:val="auto"/>
          <w:szCs w:val="21"/>
          <w:highlight w:val="none"/>
          <w:lang w:eastAsia="zh-CN"/>
        </w:rPr>
        <w:t>高新区</w:t>
      </w:r>
      <w:r>
        <w:rPr>
          <w:rFonts w:hint="eastAsia" w:ascii="宋体" w:hAnsi="宋体" w:cs="宋体"/>
          <w:color w:val="auto"/>
          <w:szCs w:val="21"/>
          <w:highlight w:val="none"/>
        </w:rPr>
        <w:t>政府采购活动！</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和《郑州市财政局关于加强和推进政府采购合同融资工作的通知》（郑财购〔2018〕4号），按照双方自愿的原则提供便捷、优惠的贷款服务。</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贷款渠道和提供贷款的金融机构，可在郑州市</w:t>
      </w:r>
      <w:r>
        <w:rPr>
          <w:rFonts w:hint="eastAsia" w:ascii="宋体" w:hAnsi="宋体" w:cs="宋体"/>
          <w:color w:val="auto"/>
          <w:szCs w:val="21"/>
          <w:highlight w:val="none"/>
          <w:lang w:eastAsia="zh-CN"/>
        </w:rPr>
        <w:t>高新区</w:t>
      </w:r>
      <w:r>
        <w:rPr>
          <w:rFonts w:hint="eastAsia" w:ascii="宋体" w:hAnsi="宋体" w:cs="宋体"/>
          <w:color w:val="auto"/>
          <w:szCs w:val="21"/>
          <w:highlight w:val="none"/>
        </w:rPr>
        <w:t>政府采购网“郑州市</w:t>
      </w:r>
      <w:r>
        <w:rPr>
          <w:rFonts w:hint="eastAsia" w:ascii="宋体" w:hAnsi="宋体" w:cs="宋体"/>
          <w:color w:val="auto"/>
          <w:szCs w:val="21"/>
          <w:highlight w:val="none"/>
          <w:lang w:eastAsia="zh-CN"/>
        </w:rPr>
        <w:t>高新区</w:t>
      </w:r>
      <w:r>
        <w:rPr>
          <w:rFonts w:hint="eastAsia" w:ascii="宋体" w:hAnsi="宋体" w:cs="宋体"/>
          <w:color w:val="auto"/>
          <w:szCs w:val="21"/>
          <w:highlight w:val="none"/>
        </w:rPr>
        <w:t>政府采购合同融资入口”查询联系。</w:t>
      </w:r>
    </w:p>
    <w:p>
      <w:pPr>
        <w:pStyle w:val="8"/>
        <w:pageBreakBefore w:val="0"/>
        <w:kinsoku/>
        <w:wordWrap w:val="0"/>
        <w:overflowPunct/>
        <w:topLinePunct w:val="0"/>
        <w:bidi w:val="0"/>
        <w:ind w:firstLine="420" w:firstLineChars="200"/>
        <w:rPr>
          <w:color w:val="auto"/>
          <w:sz w:val="21"/>
          <w:szCs w:val="21"/>
          <w:highlight w:val="none"/>
        </w:rPr>
      </w:pPr>
      <w:r>
        <w:rPr>
          <w:color w:val="auto"/>
          <w:sz w:val="21"/>
          <w:szCs w:val="21"/>
          <w:highlight w:val="none"/>
        </w:rPr>
        <w:br w:type="page"/>
      </w:r>
    </w:p>
    <w:p>
      <w:pPr>
        <w:pStyle w:val="2"/>
        <w:pageBreakBefore w:val="0"/>
        <w:kinsoku/>
        <w:wordWrap w:val="0"/>
        <w:overflowPunct/>
        <w:topLinePunct w:val="0"/>
        <w:bidi w:val="0"/>
        <w:ind w:left="0" w:leftChars="0" w:firstLine="0" w:firstLineChars="0"/>
        <w:outlineLvl w:val="0"/>
        <w:rPr>
          <w:color w:val="auto"/>
          <w:highlight w:val="none"/>
        </w:rPr>
      </w:pPr>
      <w:bookmarkStart w:id="154" w:name="_Toc12513"/>
      <w:bookmarkStart w:id="155" w:name="_Toc31295"/>
      <w:bookmarkStart w:id="156" w:name="_Toc32406"/>
      <w:bookmarkStart w:id="157" w:name="_Toc6775"/>
      <w:bookmarkStart w:id="158" w:name="_Toc29248"/>
      <w:bookmarkStart w:id="159" w:name="_Toc17133"/>
      <w:r>
        <w:rPr>
          <w:color w:val="auto"/>
          <w:highlight w:val="none"/>
        </w:rPr>
        <w:t>第三章</w:t>
      </w:r>
      <w:r>
        <w:rPr>
          <w:rFonts w:hint="eastAsia"/>
          <w:color w:val="auto"/>
          <w:highlight w:val="none"/>
          <w:lang w:val="en-US" w:eastAsia="zh-CN"/>
        </w:rPr>
        <w:t xml:space="preserve">  </w:t>
      </w:r>
      <w:r>
        <w:rPr>
          <w:color w:val="auto"/>
          <w:highlight w:val="none"/>
        </w:rPr>
        <w:t>评审办法（综合评分法）</w:t>
      </w:r>
      <w:bookmarkEnd w:id="154"/>
      <w:bookmarkEnd w:id="155"/>
      <w:bookmarkEnd w:id="156"/>
      <w:bookmarkEnd w:id="157"/>
      <w:bookmarkEnd w:id="158"/>
      <w:bookmarkEnd w:id="159"/>
    </w:p>
    <w:p>
      <w:pPr>
        <w:pStyle w:val="2"/>
        <w:pageBreakBefore w:val="0"/>
        <w:kinsoku/>
        <w:wordWrap w:val="0"/>
        <w:overflowPunct/>
        <w:topLinePunct w:val="0"/>
        <w:bidi w:val="0"/>
        <w:ind w:left="0" w:leftChars="0" w:firstLine="0" w:firstLineChars="0"/>
        <w:rPr>
          <w:color w:val="auto"/>
          <w:highlight w:val="none"/>
        </w:rPr>
      </w:pPr>
      <w:bookmarkStart w:id="160" w:name="_Toc31366"/>
      <w:bookmarkStart w:id="161" w:name="_Toc31632"/>
      <w:bookmarkStart w:id="162" w:name="_Toc15604"/>
      <w:bookmarkStart w:id="163" w:name="_Toc19972"/>
      <w:r>
        <w:rPr>
          <w:color w:val="auto"/>
          <w:highlight w:val="none"/>
        </w:rPr>
        <w:t>评审办法前附表</w:t>
      </w:r>
      <w:bookmarkEnd w:id="160"/>
      <w:bookmarkEnd w:id="161"/>
      <w:bookmarkEnd w:id="162"/>
      <w:bookmarkEnd w:id="163"/>
    </w:p>
    <w:tbl>
      <w:tblPr>
        <w:tblStyle w:val="26"/>
        <w:tblW w:w="9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7"/>
        <w:gridCol w:w="1059"/>
        <w:gridCol w:w="1747"/>
        <w:gridCol w:w="53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8" w:hRule="atLeast"/>
          <w:jc w:val="center"/>
        </w:trPr>
        <w:tc>
          <w:tcPr>
            <w:tcW w:w="2046" w:type="dxa"/>
            <w:gridSpan w:val="2"/>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b/>
                <w:color w:val="auto"/>
                <w:sz w:val="22"/>
                <w:highlight w:val="none"/>
              </w:rPr>
            </w:pPr>
            <w:r>
              <w:rPr>
                <w:b/>
                <w:color w:val="auto"/>
                <w:sz w:val="22"/>
                <w:highlight w:val="none"/>
              </w:rPr>
              <w:t>条款号</w:t>
            </w: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b/>
                <w:color w:val="auto"/>
                <w:sz w:val="22"/>
                <w:highlight w:val="none"/>
              </w:rPr>
            </w:pPr>
            <w:r>
              <w:rPr>
                <w:b/>
                <w:color w:val="auto"/>
                <w:sz w:val="22"/>
                <w:highlight w:val="none"/>
              </w:rPr>
              <w:t>评审因素</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b/>
                <w:color w:val="auto"/>
                <w:sz w:val="22"/>
                <w:highlight w:val="none"/>
              </w:rPr>
            </w:pPr>
            <w:r>
              <w:rPr>
                <w:b/>
                <w:color w:val="auto"/>
                <w:sz w:val="22"/>
                <w:highlight w:val="none"/>
              </w:rPr>
              <w:t>评标准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jc w:val="center"/>
        </w:trPr>
        <w:tc>
          <w:tcPr>
            <w:tcW w:w="987" w:type="dxa"/>
            <w:vMerge w:val="restart"/>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194"/>
              <w:jc w:val="both"/>
              <w:textAlignment w:val="auto"/>
              <w:rPr>
                <w:color w:val="auto"/>
                <w:sz w:val="22"/>
                <w:highlight w:val="none"/>
              </w:rPr>
            </w:pPr>
            <w:r>
              <w:rPr>
                <w:color w:val="auto"/>
                <w:sz w:val="22"/>
                <w:highlight w:val="none"/>
              </w:rPr>
              <w:t>2.1.1</w:t>
            </w:r>
          </w:p>
        </w:tc>
        <w:tc>
          <w:tcPr>
            <w:tcW w:w="1059" w:type="dxa"/>
            <w:vMerge w:val="restart"/>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9" w:rightChars="0"/>
              <w:jc w:val="center"/>
              <w:textAlignment w:val="auto"/>
              <w:rPr>
                <w:color w:val="auto"/>
                <w:sz w:val="22"/>
                <w:highlight w:val="none"/>
              </w:rPr>
            </w:pPr>
            <w:r>
              <w:rPr>
                <w:rFonts w:hint="eastAsia"/>
                <w:color w:val="auto"/>
                <w:sz w:val="22"/>
                <w:highlight w:val="none"/>
                <w:lang w:eastAsia="zh-CN"/>
              </w:rPr>
              <w:t>形式</w:t>
            </w:r>
            <w:r>
              <w:rPr>
                <w:color w:val="auto"/>
                <w:sz w:val="22"/>
                <w:highlight w:val="none"/>
              </w:rPr>
              <w:t>评审标准</w:t>
            </w: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供应商名称</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签字盖章</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符合第二章“供应商须知前附表”第3.7.3项规定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磋商文件格式</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29" w:right="22"/>
              <w:jc w:val="center"/>
              <w:textAlignment w:val="auto"/>
              <w:rPr>
                <w:color w:val="auto"/>
                <w:sz w:val="22"/>
                <w:highlight w:val="none"/>
              </w:rPr>
            </w:pPr>
            <w:r>
              <w:rPr>
                <w:color w:val="auto"/>
                <w:sz w:val="22"/>
                <w:highlight w:val="none"/>
              </w:rPr>
              <w:t>符合第六章“</w:t>
            </w:r>
            <w:r>
              <w:rPr>
                <w:rFonts w:hint="eastAsia"/>
                <w:color w:val="auto"/>
                <w:sz w:val="22"/>
                <w:highlight w:val="none"/>
                <w:lang w:eastAsia="zh-CN"/>
              </w:rPr>
              <w:t>响应文件格式</w:t>
            </w:r>
            <w:r>
              <w:rPr>
                <w:color w:val="auto"/>
                <w:sz w:val="22"/>
                <w:highlight w:val="none"/>
              </w:rPr>
              <w:t>”的要求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jc w:val="center"/>
        </w:trPr>
        <w:tc>
          <w:tcPr>
            <w:tcW w:w="987" w:type="dxa"/>
            <w:vMerge w:val="restart"/>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194"/>
              <w:jc w:val="both"/>
              <w:textAlignment w:val="auto"/>
              <w:rPr>
                <w:color w:val="auto"/>
                <w:sz w:val="22"/>
                <w:highlight w:val="none"/>
              </w:rPr>
            </w:pPr>
            <w:r>
              <w:rPr>
                <w:color w:val="auto"/>
                <w:sz w:val="22"/>
                <w:highlight w:val="none"/>
              </w:rPr>
              <w:t>2.1.2</w:t>
            </w:r>
          </w:p>
        </w:tc>
        <w:tc>
          <w:tcPr>
            <w:tcW w:w="1059" w:type="dxa"/>
            <w:vMerge w:val="restart"/>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9" w:rightChars="0"/>
              <w:jc w:val="center"/>
              <w:textAlignment w:val="auto"/>
              <w:rPr>
                <w:color w:val="auto"/>
                <w:sz w:val="22"/>
                <w:highlight w:val="none"/>
              </w:rPr>
            </w:pPr>
            <w:r>
              <w:rPr>
                <w:color w:val="auto"/>
                <w:sz w:val="22"/>
                <w:highlight w:val="none"/>
              </w:rPr>
              <w:t>资格评审标准</w:t>
            </w: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rFonts w:hint="eastAsia" w:eastAsia="宋体"/>
                <w:color w:val="auto"/>
                <w:sz w:val="22"/>
                <w:highlight w:val="none"/>
                <w:lang w:eastAsia="zh-CN"/>
              </w:rPr>
            </w:pPr>
            <w:r>
              <w:rPr>
                <w:color w:val="auto"/>
                <w:sz w:val="22"/>
                <w:highlight w:val="none"/>
              </w:rPr>
              <w:t>营业执照</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29" w:right="22"/>
              <w:jc w:val="center"/>
              <w:textAlignment w:val="auto"/>
              <w:rPr>
                <w:rFonts w:hint="eastAsia" w:eastAsia="宋体"/>
                <w:color w:val="auto"/>
                <w:sz w:val="22"/>
                <w:highlight w:val="none"/>
                <w:lang w:eastAsia="zh-CN"/>
              </w:rPr>
            </w:pPr>
            <w:r>
              <w:rPr>
                <w:rFonts w:hint="eastAsia" w:hAnsi="宋体"/>
                <w:color w:val="auto"/>
                <w:highlight w:val="none"/>
              </w:rPr>
              <w:t>具备有效的营业执照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其他要求</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符合第二章“供应商须知前附表”第 1.5.1 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6" w:hRule="atLeast"/>
          <w:jc w:val="center"/>
        </w:trPr>
        <w:tc>
          <w:tcPr>
            <w:tcW w:w="987" w:type="dxa"/>
            <w:vMerge w:val="restart"/>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194"/>
              <w:jc w:val="both"/>
              <w:textAlignment w:val="auto"/>
              <w:rPr>
                <w:color w:val="auto"/>
                <w:sz w:val="22"/>
                <w:highlight w:val="none"/>
              </w:rPr>
            </w:pPr>
            <w:r>
              <w:rPr>
                <w:color w:val="auto"/>
                <w:sz w:val="22"/>
                <w:highlight w:val="none"/>
              </w:rPr>
              <w:t>2.1.3</w:t>
            </w:r>
          </w:p>
        </w:tc>
        <w:tc>
          <w:tcPr>
            <w:tcW w:w="1059" w:type="dxa"/>
            <w:vMerge w:val="restart"/>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9" w:rightChars="0"/>
              <w:jc w:val="center"/>
              <w:textAlignment w:val="auto"/>
              <w:rPr>
                <w:color w:val="auto"/>
                <w:sz w:val="22"/>
                <w:highlight w:val="none"/>
              </w:rPr>
            </w:pPr>
            <w:r>
              <w:rPr>
                <w:rFonts w:hint="eastAsia"/>
                <w:color w:val="auto"/>
                <w:sz w:val="22"/>
                <w:highlight w:val="none"/>
                <w:lang w:eastAsia="zh-CN"/>
              </w:rPr>
              <w:t>响应性评审标准</w:t>
            </w: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磋商范围</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符合第二章“供应商须知前附表”第 1.4.1 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rFonts w:hint="eastAsia"/>
                <w:color w:val="auto"/>
                <w:sz w:val="22"/>
                <w:highlight w:val="none"/>
              </w:rPr>
              <w:t>供货及安装期</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符合第二章“供应商须知前附表”第 1.4.2 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质量要求</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符合第二章“供应商须知前附表”第 1.4.3 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磋商有效期</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符合第二章“供应商须知前附表”第 3.3.1 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1"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磋商承诺函</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22"/>
              <w:jc w:val="center"/>
              <w:textAlignment w:val="auto"/>
              <w:rPr>
                <w:color w:val="auto"/>
                <w:sz w:val="22"/>
                <w:highlight w:val="none"/>
              </w:rPr>
            </w:pPr>
            <w:r>
              <w:rPr>
                <w:color w:val="auto"/>
                <w:sz w:val="22"/>
                <w:highlight w:val="none"/>
              </w:rPr>
              <w:t>符合第二章“供应商须知前附表”第 3.4.1 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1" w:hRule="atLeast"/>
          <w:jc w:val="center"/>
        </w:trPr>
        <w:tc>
          <w:tcPr>
            <w:tcW w:w="987"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059" w:type="dxa"/>
            <w:vMerge w:val="continue"/>
            <w:tcBorders>
              <w:top w:val="nil"/>
            </w:tcBorders>
            <w:vAlign w:val="center"/>
          </w:tcPr>
          <w:p>
            <w:pPr>
              <w:keepNext w:val="0"/>
              <w:keepLines w:val="0"/>
              <w:pageBreakBefore w:val="0"/>
              <w:widowControl w:val="0"/>
              <w:kinsoku/>
              <w:wordWrap w:val="0"/>
              <w:overflowPunct/>
              <w:topLinePunct w:val="0"/>
              <w:autoSpaceDE w:val="0"/>
              <w:autoSpaceDN w:val="0"/>
              <w:bidi w:val="0"/>
              <w:adjustRightInd/>
              <w:snapToGrid/>
              <w:spacing w:before="0" w:line="240" w:lineRule="auto"/>
              <w:jc w:val="center"/>
              <w:textAlignment w:val="auto"/>
              <w:rPr>
                <w:color w:val="auto"/>
                <w:sz w:val="2"/>
                <w:szCs w:val="2"/>
                <w:highlight w:val="none"/>
              </w:rPr>
            </w:pPr>
          </w:p>
        </w:tc>
        <w:tc>
          <w:tcPr>
            <w:tcW w:w="1747"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right="35" w:rightChars="0"/>
              <w:jc w:val="center"/>
              <w:textAlignment w:val="auto"/>
              <w:rPr>
                <w:color w:val="auto"/>
                <w:sz w:val="22"/>
                <w:highlight w:val="none"/>
              </w:rPr>
            </w:pPr>
            <w:r>
              <w:rPr>
                <w:color w:val="auto"/>
                <w:sz w:val="22"/>
                <w:highlight w:val="none"/>
              </w:rPr>
              <w:t>磋商报价</w:t>
            </w:r>
          </w:p>
        </w:tc>
        <w:tc>
          <w:tcPr>
            <w:tcW w:w="5305" w:type="dxa"/>
            <w:vAlign w:val="center"/>
          </w:tcPr>
          <w:p>
            <w:pPr>
              <w:pStyle w:val="46"/>
              <w:keepNext w:val="0"/>
              <w:keepLines w:val="0"/>
              <w:pageBreakBefore w:val="0"/>
              <w:widowControl w:val="0"/>
              <w:kinsoku/>
              <w:wordWrap w:val="0"/>
              <w:overflowPunct/>
              <w:topLinePunct w:val="0"/>
              <w:autoSpaceDE w:val="0"/>
              <w:autoSpaceDN w:val="0"/>
              <w:bidi w:val="0"/>
              <w:adjustRightInd/>
              <w:snapToGrid/>
              <w:spacing w:before="0" w:line="240" w:lineRule="auto"/>
              <w:ind w:left="31" w:right="19"/>
              <w:jc w:val="center"/>
              <w:textAlignment w:val="auto"/>
              <w:rPr>
                <w:rFonts w:hint="eastAsia" w:eastAsia="宋体"/>
                <w:color w:val="auto"/>
                <w:sz w:val="22"/>
                <w:highlight w:val="none"/>
                <w:lang w:eastAsia="zh-CN"/>
              </w:rPr>
            </w:pPr>
            <w:r>
              <w:rPr>
                <w:color w:val="auto"/>
                <w:sz w:val="22"/>
                <w:highlight w:val="none"/>
              </w:rPr>
              <w:t>磋商报价在规定的报价要求范围之内，未超出磋商</w:t>
            </w:r>
            <w:r>
              <w:rPr>
                <w:rFonts w:hint="eastAsia"/>
                <w:color w:val="auto"/>
                <w:sz w:val="22"/>
                <w:highlight w:val="none"/>
                <w:lang w:eastAsia="zh-CN"/>
              </w:rPr>
              <w:t>最高限价</w:t>
            </w:r>
          </w:p>
        </w:tc>
      </w:tr>
    </w:tbl>
    <w:p>
      <w:pPr>
        <w:pageBreakBefore w:val="0"/>
        <w:kinsoku/>
        <w:wordWrap w:val="0"/>
        <w:overflowPunct/>
        <w:topLinePunct w:val="0"/>
        <w:bidi w:val="0"/>
        <w:snapToGrid w:val="0"/>
        <w:spacing w:line="312"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2.2在评审过程中，凡遇到磋商文件中无界定或界定不清、前后不一致使磋商小组意见有分歧且又难于协商一致的问题，均由磋商小组予以表决，获半数以上同意的即为通过，未获半数同意的即为否决。</w:t>
      </w:r>
    </w:p>
    <w:p>
      <w:pPr>
        <w:pageBreakBefore w:val="0"/>
        <w:kinsoku/>
        <w:wordWrap w:val="0"/>
        <w:overflowPunct/>
        <w:topLinePunct w:val="0"/>
        <w:bidi w:val="0"/>
        <w:ind w:firstLine="440" w:firstLineChars="200"/>
        <w:rPr>
          <w:color w:val="auto"/>
          <w:sz w:val="22"/>
          <w:szCs w:val="22"/>
          <w:highlight w:val="none"/>
        </w:rPr>
      </w:pPr>
      <w:r>
        <w:rPr>
          <w:color w:val="auto"/>
          <w:sz w:val="22"/>
          <w:szCs w:val="22"/>
          <w:highlight w:val="none"/>
        </w:rPr>
        <w:br w:type="page"/>
      </w:r>
    </w:p>
    <w:p>
      <w:pPr>
        <w:pageBreakBefore w:val="0"/>
        <w:tabs>
          <w:tab w:val="left" w:pos="720"/>
          <w:tab w:val="left" w:pos="1570"/>
        </w:tabs>
        <w:kinsoku/>
        <w:wordWrap w:val="0"/>
        <w:overflowPunct/>
        <w:topLinePunct w:val="0"/>
        <w:bidi w:val="0"/>
        <w:spacing w:line="360" w:lineRule="auto"/>
        <w:ind w:left="482" w:hanging="482"/>
        <w:jc w:val="center"/>
        <w:rPr>
          <w:rFonts w:hint="eastAsia" w:ascii="宋体" w:hAnsi="宋体" w:cs="宋体"/>
          <w:b/>
          <w:color w:val="auto"/>
          <w:sz w:val="24"/>
          <w:highlight w:val="none"/>
          <w:lang w:val="zh-CN"/>
        </w:rPr>
      </w:pPr>
      <w:bookmarkStart w:id="164" w:name="_Hlk74765385"/>
      <w:r>
        <w:rPr>
          <w:rFonts w:hint="eastAsia" w:ascii="宋体" w:hAnsi="宋体" w:cs="宋体"/>
          <w:b/>
          <w:color w:val="auto"/>
          <w:sz w:val="28"/>
          <w:szCs w:val="28"/>
          <w:highlight w:val="none"/>
          <w:lang w:val="zh-CN"/>
        </w:rPr>
        <w:t>《评分标准和细则》</w:t>
      </w:r>
    </w:p>
    <w:bookmarkEnd w:id="164"/>
    <w:p>
      <w:pPr>
        <w:keepNext w:val="0"/>
        <w:keepLines w:val="0"/>
        <w:pageBreakBefore w:val="0"/>
        <w:widowControl w:val="0"/>
        <w:numPr>
          <w:ilvl w:val="0"/>
          <w:numId w:val="3"/>
        </w:numPr>
        <w:tabs>
          <w:tab w:val="left" w:pos="8731"/>
        </w:tabs>
        <w:kinsoku/>
        <w:wordWrap w:val="0"/>
        <w:overflowPunct/>
        <w:topLinePunct w:val="0"/>
        <w:autoSpaceDE w:val="0"/>
        <w:autoSpaceDN w:val="0"/>
        <w:bidi w:val="0"/>
        <w:adjustRightInd/>
        <w:snapToGrid/>
        <w:spacing w:before="149" w:after="23" w:line="360" w:lineRule="auto"/>
        <w:jc w:val="left"/>
        <w:textAlignment w:val="auto"/>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评分因素及分值：</w:t>
      </w:r>
    </w:p>
    <w:tbl>
      <w:tblPr>
        <w:tblStyle w:val="26"/>
        <w:tblW w:w="9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43"/>
        <w:gridCol w:w="1875"/>
        <w:gridCol w:w="1876"/>
        <w:gridCol w:w="1875"/>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2243" w:type="dxa"/>
            <w:shd w:val="clear" w:color="auto" w:fill="D9D9D9"/>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评分项目</w:t>
            </w:r>
          </w:p>
        </w:tc>
        <w:tc>
          <w:tcPr>
            <w:tcW w:w="1875" w:type="dxa"/>
            <w:shd w:val="clear" w:color="auto" w:fill="D9D9D9"/>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技术部分</w:t>
            </w:r>
          </w:p>
        </w:tc>
        <w:tc>
          <w:tcPr>
            <w:tcW w:w="1876" w:type="dxa"/>
            <w:shd w:val="clear" w:color="auto" w:fill="D9D9D9"/>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商务部分</w:t>
            </w:r>
          </w:p>
        </w:tc>
        <w:tc>
          <w:tcPr>
            <w:tcW w:w="1875" w:type="dxa"/>
            <w:shd w:val="clear" w:color="auto" w:fill="D9D9D9"/>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价格部分</w:t>
            </w:r>
          </w:p>
        </w:tc>
        <w:tc>
          <w:tcPr>
            <w:tcW w:w="1988" w:type="dxa"/>
            <w:shd w:val="clear" w:color="auto" w:fill="D9D9D9"/>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2243" w:type="dxa"/>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w:t>
            </w:r>
          </w:p>
        </w:tc>
        <w:tc>
          <w:tcPr>
            <w:tcW w:w="1875" w:type="dxa"/>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0分</w:t>
            </w:r>
          </w:p>
        </w:tc>
        <w:tc>
          <w:tcPr>
            <w:tcW w:w="1876" w:type="dxa"/>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0分</w:t>
            </w:r>
          </w:p>
        </w:tc>
        <w:tc>
          <w:tcPr>
            <w:tcW w:w="1875" w:type="dxa"/>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0分</w:t>
            </w:r>
          </w:p>
        </w:tc>
        <w:tc>
          <w:tcPr>
            <w:tcW w:w="1988" w:type="dxa"/>
            <w:noWrap w:val="0"/>
            <w:vAlign w:val="center"/>
          </w:tcPr>
          <w:p>
            <w:pPr>
              <w:pageBreakBefore w:val="0"/>
              <w:kinsoku/>
              <w:wordWrap w:val="0"/>
              <w:overflowPunct/>
              <w:topLinePunct w:val="0"/>
              <w:autoSpaceDE/>
              <w:autoSpaceDN/>
              <w:bidi w:val="0"/>
              <w:adjustRightInd/>
              <w:spacing w:before="62" w:beforeLines="20" w:after="62" w:afterLines="2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100分</w:t>
            </w:r>
          </w:p>
        </w:tc>
      </w:tr>
    </w:tbl>
    <w:p>
      <w:pPr>
        <w:pageBreakBefore w:val="0"/>
        <w:numPr>
          <w:ilvl w:val="0"/>
          <w:numId w:val="0"/>
        </w:numPr>
        <w:tabs>
          <w:tab w:val="left" w:pos="480"/>
          <w:tab w:val="left" w:pos="720"/>
        </w:tabs>
        <w:kinsoku/>
        <w:wordWrap w:val="0"/>
        <w:overflowPunct/>
        <w:topLinePunct w:val="0"/>
        <w:autoSpaceDE/>
        <w:autoSpaceDN/>
        <w:bidi w:val="0"/>
        <w:adjustRightInd/>
        <w:spacing w:line="360" w:lineRule="auto"/>
        <w:ind w:leftChars="0"/>
        <w:textAlignment w:val="auto"/>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二、评分因素分值的具体分配：</w:t>
      </w:r>
    </w:p>
    <w:p>
      <w:pPr>
        <w:pStyle w:val="4"/>
        <w:numPr>
          <w:ilvl w:val="3"/>
          <w:numId w:val="0"/>
        </w:numPr>
        <w:spacing w:before="0" w:after="0" w:line="360" w:lineRule="auto"/>
        <w:jc w:val="left"/>
        <w:outlineLvl w:val="2"/>
        <w:rPr>
          <w:rFonts w:hint="eastAsia" w:asciiTheme="minorEastAsia" w:hAnsiTheme="minorEastAsia" w:eastAsiaTheme="minorEastAsia" w:cstheme="minorEastAsia"/>
          <w:color w:val="auto"/>
          <w:sz w:val="24"/>
          <w:szCs w:val="24"/>
          <w:highlight w:val="none"/>
        </w:rPr>
      </w:pPr>
      <w:bookmarkStart w:id="165" w:name="_Toc74235859"/>
      <w:bookmarkStart w:id="166" w:name="_Toc13612"/>
      <w:r>
        <w:rPr>
          <w:rFonts w:hint="eastAsia" w:asciiTheme="minorEastAsia" w:hAnsiTheme="minorEastAsia" w:eastAsiaTheme="minorEastAsia" w:cstheme="minorEastAsia"/>
          <w:color w:val="auto"/>
          <w:sz w:val="24"/>
          <w:szCs w:val="24"/>
          <w:highlight w:val="none"/>
        </w:rPr>
        <w:t>1.价格部分（30分）</w:t>
      </w:r>
      <w:bookmarkEnd w:id="165"/>
    </w:p>
    <w:tbl>
      <w:tblPr>
        <w:tblStyle w:val="26"/>
        <w:tblW w:w="9558"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13"/>
        <w:gridCol w:w="1283"/>
        <w:gridCol w:w="712"/>
        <w:gridCol w:w="685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55" w:hRule="atLeast"/>
          <w:jc w:val="center"/>
        </w:trPr>
        <w:tc>
          <w:tcPr>
            <w:tcW w:w="713" w:type="dxa"/>
            <w:tcBorders>
              <w:top w:val="single" w:color="auto" w:sz="2" w:space="0"/>
              <w:left w:val="single" w:color="auto" w:sz="2" w:space="0"/>
              <w:bottom w:val="single" w:color="auto" w:sz="2" w:space="0"/>
              <w:right w:val="single" w:color="auto" w:sz="4"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bookmarkStart w:id="167" w:name="_Toc32458"/>
            <w:bookmarkStart w:id="168" w:name="_Toc74235857"/>
            <w:r>
              <w:rPr>
                <w:rFonts w:hint="eastAsia" w:asciiTheme="minorEastAsia" w:hAnsiTheme="minorEastAsia" w:eastAsiaTheme="minorEastAsia" w:cstheme="minorEastAsia"/>
                <w:b/>
                <w:color w:val="auto"/>
                <w:sz w:val="24"/>
                <w:szCs w:val="24"/>
                <w:highlight w:val="none"/>
              </w:rPr>
              <w:t>序号</w:t>
            </w:r>
          </w:p>
        </w:tc>
        <w:tc>
          <w:tcPr>
            <w:tcW w:w="1283" w:type="dxa"/>
            <w:tcBorders>
              <w:top w:val="single" w:color="auto" w:sz="2" w:space="0"/>
              <w:left w:val="single" w:color="auto" w:sz="4" w:space="0"/>
              <w:bottom w:val="single" w:color="auto" w:sz="2"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评审内容</w:t>
            </w:r>
          </w:p>
        </w:tc>
        <w:tc>
          <w:tcPr>
            <w:tcW w:w="712" w:type="dxa"/>
            <w:tcBorders>
              <w:top w:val="single" w:color="auto" w:sz="4" w:space="0"/>
              <w:left w:val="single" w:color="auto" w:sz="2"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分值</w:t>
            </w:r>
          </w:p>
        </w:tc>
        <w:tc>
          <w:tcPr>
            <w:tcW w:w="6850" w:type="dxa"/>
            <w:tcBorders>
              <w:top w:val="single" w:color="auto" w:sz="4" w:space="0"/>
              <w:left w:val="single" w:color="auto" w:sz="4"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17" w:hRule="atLeast"/>
          <w:jc w:val="center"/>
        </w:trPr>
        <w:tc>
          <w:tcPr>
            <w:tcW w:w="713" w:type="dxa"/>
            <w:tcBorders>
              <w:top w:val="single" w:color="auto" w:sz="2" w:space="0"/>
              <w:left w:val="single" w:color="auto" w:sz="2" w:space="0"/>
              <w:bottom w:val="single" w:color="auto" w:sz="2" w:space="0"/>
              <w:right w:val="single" w:color="auto" w:sz="4" w:space="0"/>
            </w:tcBorders>
            <w:noWrap w:val="0"/>
            <w:vAlign w:val="center"/>
          </w:tcPr>
          <w:p>
            <w:pPr>
              <w:pStyle w:val="57"/>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283" w:type="dxa"/>
            <w:tcBorders>
              <w:top w:val="single" w:color="auto" w:sz="2" w:space="0"/>
              <w:left w:val="single" w:color="auto" w:sz="4" w:space="0"/>
              <w:bottom w:val="single" w:color="auto" w:sz="2" w:space="0"/>
              <w:right w:val="single" w:color="auto" w:sz="2" w:space="0"/>
            </w:tcBorders>
            <w:noWrap w:val="0"/>
            <w:vAlign w:val="center"/>
          </w:tcPr>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w:t>
            </w:r>
          </w:p>
        </w:tc>
        <w:tc>
          <w:tcPr>
            <w:tcW w:w="712" w:type="dxa"/>
            <w:tcBorders>
              <w:top w:val="single" w:color="auto" w:sz="4" w:space="0"/>
              <w:left w:val="single" w:color="auto" w:sz="2" w:space="0"/>
              <w:right w:val="single" w:color="auto" w:sz="2" w:space="0"/>
            </w:tcBorders>
            <w:noWrap w:val="0"/>
            <w:vAlign w:val="center"/>
          </w:tcPr>
          <w:p>
            <w:pPr>
              <w:autoSpaceDE w:val="0"/>
              <w:autoSpaceDN w:val="0"/>
              <w:spacing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30分</w:t>
            </w:r>
          </w:p>
        </w:tc>
        <w:tc>
          <w:tcPr>
            <w:tcW w:w="6850" w:type="dxa"/>
            <w:tcBorders>
              <w:top w:val="single" w:color="auto" w:sz="4" w:space="0"/>
              <w:left w:val="single" w:color="auto" w:sz="4" w:space="0"/>
              <w:right w:val="single" w:color="auto" w:sz="2" w:space="0"/>
            </w:tcBorders>
            <w:noWrap w:val="0"/>
            <w:vAlign w:val="center"/>
          </w:tcPr>
          <w:p>
            <w:pPr>
              <w:spacing w:line="440" w:lineRule="exact"/>
              <w:jc w:val="left"/>
              <w:rPr>
                <w:rFonts w:hint="eastAsia" w:asciiTheme="minorEastAsia" w:hAnsiTheme="minorEastAsia" w:eastAsiaTheme="minorEastAsia" w:cstheme="minorEastAsia"/>
                <w:b/>
                <w:bCs/>
                <w:color w:val="auto"/>
                <w:sz w:val="24"/>
                <w:szCs w:val="24"/>
                <w:highlight w:val="none"/>
                <w:lang w:val="zh-TW"/>
              </w:rPr>
            </w:pPr>
            <w:r>
              <w:rPr>
                <w:rFonts w:hint="eastAsia" w:asciiTheme="minorEastAsia" w:hAnsiTheme="minorEastAsia" w:eastAsiaTheme="minorEastAsia" w:cstheme="minorEastAsia"/>
                <w:b/>
                <w:bCs/>
                <w:color w:val="auto"/>
                <w:sz w:val="24"/>
                <w:szCs w:val="24"/>
                <w:highlight w:val="none"/>
                <w:lang w:val="zh-TW"/>
              </w:rPr>
              <w:t>本项目以满足磋商文件要求且报价最低的最后磋商报价为评标基准价，其价格分为满分。</w:t>
            </w:r>
          </w:p>
          <w:p>
            <w:pPr>
              <w:spacing w:line="440" w:lineRule="exact"/>
              <w:jc w:val="left"/>
              <w:rPr>
                <w:rFonts w:hint="eastAsia" w:asciiTheme="minorEastAsia" w:hAnsiTheme="minorEastAsia" w:eastAsiaTheme="minorEastAsia" w:cstheme="minorEastAsia"/>
                <w:b/>
                <w:bCs/>
                <w:color w:val="auto"/>
                <w:sz w:val="24"/>
                <w:szCs w:val="24"/>
                <w:highlight w:val="none"/>
                <w:lang w:val="zh-TW"/>
              </w:rPr>
            </w:pPr>
            <w:r>
              <w:rPr>
                <w:rFonts w:hint="eastAsia" w:asciiTheme="minorEastAsia" w:hAnsiTheme="minorEastAsia" w:eastAsiaTheme="minorEastAsia" w:cstheme="minorEastAsia"/>
                <w:b/>
                <w:bCs/>
                <w:color w:val="auto"/>
                <w:sz w:val="24"/>
                <w:szCs w:val="24"/>
                <w:highlight w:val="none"/>
                <w:lang w:val="zh-TW"/>
              </w:rPr>
              <w:t>其他供应商的价格分统一按照下列公式计算：</w:t>
            </w:r>
          </w:p>
          <w:p>
            <w:pPr>
              <w:spacing w:line="440" w:lineRule="exact"/>
              <w:jc w:val="left"/>
              <w:rPr>
                <w:rFonts w:hint="eastAsia" w:asciiTheme="minorEastAsia" w:hAnsiTheme="minorEastAsia" w:eastAsiaTheme="minorEastAsia" w:cstheme="minorEastAsia"/>
                <w:b/>
                <w:bCs/>
                <w:color w:val="auto"/>
                <w:sz w:val="24"/>
                <w:szCs w:val="24"/>
                <w:highlight w:val="none"/>
                <w:lang w:val="zh-TW"/>
              </w:rPr>
            </w:pPr>
            <w:r>
              <w:rPr>
                <w:rFonts w:hint="eastAsia" w:asciiTheme="minorEastAsia" w:hAnsiTheme="minorEastAsia" w:eastAsiaTheme="minorEastAsia" w:cstheme="minorEastAsia"/>
                <w:b/>
                <w:bCs/>
                <w:color w:val="auto"/>
                <w:sz w:val="24"/>
                <w:szCs w:val="24"/>
                <w:highlight w:val="none"/>
                <w:lang w:val="zh-TW"/>
              </w:rPr>
              <w:t>最后磋商报价得分=（磋商基准价/最后磋商报价）×</w:t>
            </w:r>
            <w:r>
              <w:rPr>
                <w:rFonts w:hint="eastAsia" w:asciiTheme="minorEastAsia" w:hAnsiTheme="minorEastAsia" w:eastAsiaTheme="minorEastAsia" w:cstheme="minorEastAsia"/>
                <w:b/>
                <w:bCs/>
                <w:color w:val="auto"/>
                <w:sz w:val="24"/>
                <w:szCs w:val="24"/>
                <w:highlight w:val="none"/>
                <w:lang w:val="en-US" w:eastAsia="zh-CN"/>
              </w:rPr>
              <w:t>30%</w:t>
            </w:r>
            <w:r>
              <w:rPr>
                <w:rFonts w:hint="eastAsia" w:asciiTheme="minorEastAsia" w:hAnsiTheme="minorEastAsia" w:eastAsiaTheme="minorEastAsia" w:cstheme="minorEastAsia"/>
                <w:b/>
                <w:bCs/>
                <w:color w:val="auto"/>
                <w:sz w:val="24"/>
                <w:szCs w:val="24"/>
                <w:highlight w:val="none"/>
                <w:lang w:val="zh-TW"/>
              </w:rPr>
              <w:t>×100。</w:t>
            </w:r>
          </w:p>
          <w:p>
            <w:pPr>
              <w:spacing w:line="440" w:lineRule="exact"/>
              <w:jc w:val="left"/>
              <w:rPr>
                <w:rFonts w:hint="eastAsia" w:asciiTheme="minorEastAsia" w:hAnsiTheme="minorEastAsia" w:eastAsiaTheme="minorEastAsia" w:cstheme="minorEastAsia"/>
                <w:b/>
                <w:bCs/>
                <w:color w:val="auto"/>
                <w:sz w:val="24"/>
                <w:szCs w:val="24"/>
                <w:highlight w:val="none"/>
                <w:lang w:val="zh-TW"/>
              </w:rPr>
            </w:pPr>
            <w:r>
              <w:rPr>
                <w:rFonts w:hint="eastAsia" w:asciiTheme="minorEastAsia" w:hAnsiTheme="minorEastAsia" w:eastAsiaTheme="minorEastAsia" w:cstheme="minorEastAsia"/>
                <w:b/>
                <w:bCs/>
                <w:color w:val="auto"/>
                <w:sz w:val="24"/>
                <w:szCs w:val="24"/>
                <w:highlight w:val="none"/>
                <w:lang w:val="zh-TW"/>
              </w:rPr>
              <w:t>有效供应商最终评标价=供应商最后磋商报价×（100%-中小企业价格优惠系数）</w:t>
            </w:r>
          </w:p>
          <w:p>
            <w:pPr>
              <w:spacing w:line="440" w:lineRule="exact"/>
              <w:jc w:val="left"/>
              <w:rPr>
                <w:rFonts w:hint="eastAsia" w:asciiTheme="minorEastAsia" w:hAnsiTheme="minorEastAsia" w:eastAsiaTheme="minorEastAsia" w:cstheme="minorEastAsia"/>
                <w:b/>
                <w:bCs/>
                <w:color w:val="auto"/>
                <w:sz w:val="24"/>
                <w:szCs w:val="24"/>
                <w:highlight w:val="none"/>
                <w:lang w:val="zh-TW"/>
              </w:rPr>
            </w:pPr>
            <w:r>
              <w:rPr>
                <w:rFonts w:hint="eastAsia" w:asciiTheme="minorEastAsia" w:hAnsiTheme="minorEastAsia" w:eastAsiaTheme="minorEastAsia" w:cstheme="minorEastAsia"/>
                <w:b/>
                <w:bCs/>
                <w:color w:val="auto"/>
                <w:sz w:val="24"/>
                <w:szCs w:val="24"/>
                <w:highlight w:val="none"/>
                <w:lang w:val="zh-TW"/>
              </w:rPr>
              <w:t>注： 1、当磋商报价明显低于采购预算价，或在评标过程中磋商小组发现供应商的磋商报价明显低于其他磋商报价，使其报价可能低于其个别成本的，磋商小组可对其质询，并要求该供应商做出书面说明和提供相关的证明材料，该供应商不能合理说明或提供证明材料的，磋商小组应按无效投标处理；</w:t>
            </w:r>
          </w:p>
          <w:p>
            <w:pPr>
              <w:spacing w:line="440" w:lineRule="exact"/>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zh-TW"/>
              </w:rPr>
              <w:t>2、计算结果按四舍五入法则，保留小数点后两位。</w:t>
            </w:r>
          </w:p>
        </w:tc>
      </w:tr>
    </w:tbl>
    <w:p>
      <w:pPr>
        <w:pStyle w:val="4"/>
        <w:numPr>
          <w:ilvl w:val="0"/>
          <w:numId w:val="0"/>
        </w:numPr>
        <w:spacing w:before="0" w:after="0" w:line="360" w:lineRule="auto"/>
        <w:jc w:val="left"/>
        <w:outlineLvl w:val="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2.技术部分（60分）</w:t>
      </w:r>
      <w:bookmarkEnd w:id="167"/>
      <w:bookmarkEnd w:id="168"/>
    </w:p>
    <w:tbl>
      <w:tblPr>
        <w:tblStyle w:val="26"/>
        <w:tblW w:w="944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23"/>
        <w:gridCol w:w="1286"/>
        <w:gridCol w:w="865"/>
        <w:gridCol w:w="65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89" w:hRule="atLeast"/>
          <w:tblHeader/>
          <w:jc w:val="center"/>
        </w:trPr>
        <w:tc>
          <w:tcPr>
            <w:tcW w:w="723" w:type="dxa"/>
            <w:tcBorders>
              <w:top w:val="single" w:color="auto" w:sz="2" w:space="0"/>
              <w:left w:val="single" w:color="auto" w:sz="2" w:space="0"/>
              <w:bottom w:val="single" w:color="auto" w:sz="2" w:space="0"/>
              <w:right w:val="single" w:color="auto" w:sz="4"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序号</w:t>
            </w:r>
          </w:p>
        </w:tc>
        <w:tc>
          <w:tcPr>
            <w:tcW w:w="1286" w:type="dxa"/>
            <w:tcBorders>
              <w:top w:val="single" w:color="auto" w:sz="2" w:space="0"/>
              <w:left w:val="single" w:color="auto" w:sz="4" w:space="0"/>
              <w:bottom w:val="single" w:color="auto" w:sz="2"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评审内容</w:t>
            </w:r>
          </w:p>
        </w:tc>
        <w:tc>
          <w:tcPr>
            <w:tcW w:w="865" w:type="dxa"/>
            <w:tcBorders>
              <w:top w:val="single" w:color="auto" w:sz="4" w:space="0"/>
              <w:left w:val="single" w:color="auto" w:sz="4"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分值</w:t>
            </w:r>
          </w:p>
        </w:tc>
        <w:tc>
          <w:tcPr>
            <w:tcW w:w="6570" w:type="dxa"/>
            <w:tcBorders>
              <w:top w:val="single" w:color="auto" w:sz="4" w:space="0"/>
              <w:left w:val="single" w:color="auto" w:sz="4"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606" w:hRule="atLeast"/>
          <w:jc w:val="center"/>
        </w:trPr>
        <w:tc>
          <w:tcPr>
            <w:tcW w:w="723" w:type="dxa"/>
            <w:tcBorders>
              <w:top w:val="single" w:color="auto" w:sz="2" w:space="0"/>
              <w:left w:val="single" w:color="auto" w:sz="2" w:space="0"/>
              <w:bottom w:val="single" w:color="auto" w:sz="2" w:space="0"/>
              <w:right w:val="single" w:color="auto" w:sz="4" w:space="0"/>
            </w:tcBorders>
            <w:noWrap w:val="0"/>
            <w:vAlign w:val="center"/>
          </w:tcPr>
          <w:p>
            <w:pPr>
              <w:pStyle w:val="56"/>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286" w:type="dxa"/>
            <w:tcBorders>
              <w:top w:val="single" w:color="auto" w:sz="2" w:space="0"/>
              <w:left w:val="single" w:color="auto" w:sz="4" w:space="0"/>
              <w:bottom w:val="single" w:color="auto" w:sz="2" w:space="0"/>
              <w:right w:val="single" w:color="auto" w:sz="2" w:space="0"/>
            </w:tcBorders>
            <w:noWrap w:val="0"/>
            <w:vAlign w:val="center"/>
          </w:tcPr>
          <w:p>
            <w:pPr>
              <w:spacing w:line="360" w:lineRule="auto"/>
              <w:ind w:left="-81" w:leftChars="-37" w:right="-77" w:rightChars="-35"/>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技术响应</w:t>
            </w:r>
          </w:p>
          <w:p>
            <w:pPr>
              <w:spacing w:line="360" w:lineRule="auto"/>
              <w:ind w:left="-81" w:leftChars="-37" w:right="-77" w:rightChars="-35"/>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情况</w:t>
            </w:r>
          </w:p>
        </w:tc>
        <w:tc>
          <w:tcPr>
            <w:tcW w:w="865" w:type="dxa"/>
            <w:tcBorders>
              <w:top w:val="single" w:color="auto" w:sz="4" w:space="0"/>
              <w:left w:val="single" w:color="auto" w:sz="4" w:space="0"/>
              <w:right w:val="single" w:color="auto" w:sz="2" w:space="0"/>
            </w:tcBorders>
            <w:noWrap w:val="0"/>
            <w:vAlign w:val="center"/>
          </w:tcPr>
          <w:p>
            <w:pPr>
              <w:pStyle w:val="56"/>
              <w:spacing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30分</w:t>
            </w:r>
          </w:p>
        </w:tc>
        <w:tc>
          <w:tcPr>
            <w:tcW w:w="6570" w:type="dxa"/>
            <w:tcBorders>
              <w:top w:val="single" w:color="auto" w:sz="4" w:space="0"/>
              <w:left w:val="single" w:color="auto" w:sz="4" w:space="0"/>
              <w:right w:val="single" w:color="auto" w:sz="2" w:space="0"/>
            </w:tcBorders>
            <w:noWrap w:val="0"/>
            <w:vAlign w:val="center"/>
          </w:tcPr>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投标产品技术指标完全满足或优于招标文件要求的得30分。投标产品技术参数与招标文件技术参数有负偏离的每有一项从满分30分基础上扣2分，扣完为止。</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538" w:hRule="atLeast"/>
          <w:jc w:val="center"/>
        </w:trPr>
        <w:tc>
          <w:tcPr>
            <w:tcW w:w="723" w:type="dxa"/>
            <w:tcBorders>
              <w:top w:val="single" w:color="auto" w:sz="2" w:space="0"/>
              <w:left w:val="single" w:color="auto" w:sz="2" w:space="0"/>
              <w:right w:val="single" w:color="auto" w:sz="4" w:space="0"/>
            </w:tcBorders>
            <w:noWrap w:val="0"/>
            <w:vAlign w:val="center"/>
          </w:tcPr>
          <w:p>
            <w:pPr>
              <w:pStyle w:val="56"/>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286" w:type="dxa"/>
            <w:tcBorders>
              <w:top w:val="single" w:color="auto" w:sz="2" w:space="0"/>
              <w:left w:val="single" w:color="auto" w:sz="2" w:space="0"/>
              <w:right w:val="single" w:color="auto" w:sz="4" w:space="0"/>
            </w:tcBorders>
            <w:noWrap w:val="0"/>
            <w:vAlign w:val="center"/>
          </w:tcPr>
          <w:p>
            <w:pPr>
              <w:spacing w:line="360" w:lineRule="auto"/>
              <w:ind w:left="-81" w:leftChars="-37" w:right="-77" w:rightChars="-35"/>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产品性能</w:t>
            </w:r>
          </w:p>
        </w:tc>
        <w:tc>
          <w:tcPr>
            <w:tcW w:w="865" w:type="dxa"/>
            <w:tcBorders>
              <w:top w:val="single" w:color="auto" w:sz="2" w:space="0"/>
              <w:left w:val="single" w:color="auto" w:sz="4" w:space="0"/>
              <w:right w:val="single" w:color="auto" w:sz="2" w:space="0"/>
            </w:tcBorders>
            <w:noWrap w:val="0"/>
            <w:vAlign w:val="center"/>
          </w:tcPr>
          <w:p>
            <w:pPr>
              <w:pStyle w:val="56"/>
              <w:spacing w:line="360" w:lineRule="auto"/>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分</w:t>
            </w:r>
          </w:p>
        </w:tc>
        <w:tc>
          <w:tcPr>
            <w:tcW w:w="6570" w:type="dxa"/>
            <w:tcBorders>
              <w:top w:val="single" w:color="auto" w:sz="2" w:space="0"/>
              <w:left w:val="single" w:color="auto" w:sz="4" w:space="0"/>
              <w:bottom w:val="single" w:color="auto" w:sz="2" w:space="0"/>
              <w:right w:val="single" w:color="auto" w:sz="2" w:space="0"/>
            </w:tcBorders>
            <w:noWrap w:val="0"/>
            <w:vAlign w:val="center"/>
          </w:tcPr>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根据供应商针对本项目</w:t>
            </w:r>
            <w:r>
              <w:rPr>
                <w:rFonts w:hint="eastAsia" w:asciiTheme="minorEastAsia" w:hAnsiTheme="minorEastAsia" w:eastAsiaTheme="minorEastAsia" w:cstheme="minorEastAsia"/>
                <w:color w:val="auto"/>
                <w:kern w:val="0"/>
                <w:sz w:val="24"/>
                <w:szCs w:val="24"/>
                <w:highlight w:val="none"/>
                <w:lang w:eastAsia="zh-CN"/>
              </w:rPr>
              <w:t>提供的</w:t>
            </w:r>
            <w:r>
              <w:rPr>
                <w:rFonts w:hint="eastAsia" w:asciiTheme="minorEastAsia" w:hAnsiTheme="minorEastAsia" w:eastAsiaTheme="minorEastAsia" w:cstheme="minorEastAsia"/>
                <w:color w:val="auto"/>
                <w:sz w:val="24"/>
                <w:szCs w:val="24"/>
                <w:highlight w:val="none"/>
              </w:rPr>
              <w:t>投标产品的适用性、可靠性</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稳定</w:t>
            </w:r>
            <w:r>
              <w:rPr>
                <w:rFonts w:hint="eastAsia" w:asciiTheme="minorEastAsia" w:hAnsiTheme="minorEastAsia" w:eastAsiaTheme="minorEastAsia" w:cstheme="minorEastAsia"/>
                <w:color w:val="auto"/>
                <w:sz w:val="24"/>
                <w:szCs w:val="24"/>
                <w:highlight w:val="none"/>
                <w:lang w:eastAsia="zh-CN"/>
              </w:rPr>
              <w:t>性</w:t>
            </w:r>
            <w:r>
              <w:rPr>
                <w:rFonts w:hint="eastAsia" w:asciiTheme="minorEastAsia" w:hAnsiTheme="minorEastAsia" w:eastAsiaTheme="minorEastAsia" w:cstheme="minorEastAsia"/>
                <w:color w:val="auto"/>
                <w:sz w:val="24"/>
                <w:szCs w:val="24"/>
                <w:highlight w:val="none"/>
              </w:rPr>
              <w:t>进行评审打分。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科学合理、可行性强，得</w:t>
            </w: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较科学合理、可行性强，得</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基本科学合理、可行性强，得</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不够科学合理、可行性强，得1分；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90" w:hRule="atLeast"/>
          <w:jc w:val="center"/>
        </w:trPr>
        <w:tc>
          <w:tcPr>
            <w:tcW w:w="723" w:type="dxa"/>
            <w:tcBorders>
              <w:top w:val="single" w:color="auto" w:sz="2" w:space="0"/>
              <w:left w:val="single" w:color="auto" w:sz="2" w:space="0"/>
              <w:bottom w:val="single" w:color="auto" w:sz="2" w:space="0"/>
              <w:right w:val="single" w:color="auto" w:sz="4" w:space="0"/>
            </w:tcBorders>
            <w:noWrap w:val="0"/>
            <w:vAlign w:val="center"/>
          </w:tcPr>
          <w:p>
            <w:pPr>
              <w:pStyle w:val="56"/>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1286" w:type="dxa"/>
            <w:tcBorders>
              <w:top w:val="single" w:color="auto" w:sz="2" w:space="0"/>
              <w:left w:val="single" w:color="auto" w:sz="2" w:space="0"/>
              <w:bottom w:val="single" w:color="auto" w:sz="2" w:space="0"/>
              <w:right w:val="single" w:color="auto" w:sz="4" w:space="0"/>
            </w:tcBorders>
            <w:noWrap w:val="0"/>
            <w:vAlign w:val="center"/>
          </w:tcPr>
          <w:p>
            <w:pPr>
              <w:spacing w:line="360" w:lineRule="auto"/>
              <w:ind w:left="-81" w:leftChars="-37" w:right="-77" w:rightChars="-35"/>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供货安排</w:t>
            </w:r>
          </w:p>
        </w:tc>
        <w:tc>
          <w:tcPr>
            <w:tcW w:w="865" w:type="dxa"/>
            <w:tcBorders>
              <w:top w:val="single" w:color="auto" w:sz="2" w:space="0"/>
              <w:left w:val="single" w:color="auto" w:sz="4" w:space="0"/>
              <w:bottom w:val="single" w:color="auto" w:sz="2" w:space="0"/>
              <w:right w:val="single" w:color="auto" w:sz="2" w:space="0"/>
            </w:tcBorders>
            <w:noWrap w:val="0"/>
            <w:vAlign w:val="center"/>
          </w:tcPr>
          <w:p>
            <w:pPr>
              <w:widowControl/>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rPr>
              <w:t>10</w:t>
            </w:r>
            <w:r>
              <w:rPr>
                <w:rFonts w:hint="eastAsia" w:asciiTheme="minorEastAsia" w:hAnsiTheme="minorEastAsia" w:eastAsiaTheme="minorEastAsia" w:cstheme="minorEastAsia"/>
                <w:color w:val="auto"/>
                <w:kern w:val="0"/>
                <w:sz w:val="24"/>
                <w:szCs w:val="24"/>
                <w:highlight w:val="none"/>
              </w:rPr>
              <w:t>分</w:t>
            </w:r>
          </w:p>
        </w:tc>
        <w:tc>
          <w:tcPr>
            <w:tcW w:w="6570" w:type="dxa"/>
            <w:tcBorders>
              <w:top w:val="single" w:color="auto" w:sz="2" w:space="0"/>
              <w:left w:val="single" w:color="auto" w:sz="4" w:space="0"/>
              <w:bottom w:val="single" w:color="auto" w:sz="2" w:space="0"/>
              <w:right w:val="single" w:color="auto" w:sz="2" w:space="0"/>
            </w:tcBorders>
            <w:noWrap w:val="0"/>
            <w:vAlign w:val="center"/>
          </w:tcPr>
          <w:p>
            <w:pPr>
              <w:snapToGrid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根据供应商针对本项目有具体的时间进度控制和供货安装安排，提供详细的人员、财力调配、运输、安装、调试措施进行评审打分。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科学</w:t>
            </w:r>
            <w:r>
              <w:rPr>
                <w:rFonts w:hint="eastAsia" w:asciiTheme="minorEastAsia" w:hAnsiTheme="minorEastAsia" w:eastAsiaTheme="minorEastAsia" w:cstheme="minorEastAsia"/>
                <w:color w:val="auto"/>
                <w:sz w:val="24"/>
                <w:szCs w:val="24"/>
                <w:highlight w:val="none"/>
              </w:rPr>
              <w:t>完善合理，针对性强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得</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 xml:space="preserve">分； </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较</w:t>
            </w:r>
            <w:r>
              <w:rPr>
                <w:rFonts w:hint="eastAsia" w:asciiTheme="minorEastAsia" w:hAnsiTheme="minorEastAsia" w:eastAsiaTheme="minorEastAsia" w:cstheme="minorEastAsia"/>
                <w:color w:val="auto"/>
                <w:sz w:val="24"/>
                <w:szCs w:val="24"/>
                <w:highlight w:val="none"/>
                <w:lang w:eastAsia="zh-CN"/>
              </w:rPr>
              <w:t>科学</w:t>
            </w:r>
            <w:r>
              <w:rPr>
                <w:rFonts w:hint="eastAsia" w:asciiTheme="minorEastAsia" w:hAnsiTheme="minorEastAsia" w:eastAsiaTheme="minorEastAsia" w:cstheme="minorEastAsia"/>
                <w:color w:val="auto"/>
                <w:sz w:val="24"/>
                <w:szCs w:val="24"/>
                <w:highlight w:val="none"/>
              </w:rPr>
              <w:t>完善合理，针对性强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得</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基本科学</w:t>
            </w:r>
            <w:r>
              <w:rPr>
                <w:rFonts w:hint="eastAsia" w:asciiTheme="minorEastAsia" w:hAnsiTheme="minorEastAsia" w:eastAsiaTheme="minorEastAsia" w:cstheme="minorEastAsia"/>
                <w:color w:val="auto"/>
                <w:sz w:val="24"/>
                <w:szCs w:val="24"/>
                <w:highlight w:val="none"/>
              </w:rPr>
              <w:t>完善合理，针对性强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得</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分；</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不够</w:t>
            </w:r>
            <w:r>
              <w:rPr>
                <w:rFonts w:hint="eastAsia" w:asciiTheme="minorEastAsia" w:hAnsiTheme="minorEastAsia" w:eastAsiaTheme="minorEastAsia" w:cstheme="minorEastAsia"/>
                <w:color w:val="auto"/>
                <w:sz w:val="24"/>
                <w:szCs w:val="24"/>
                <w:highlight w:val="none"/>
                <w:lang w:eastAsia="zh-CN"/>
              </w:rPr>
              <w:t>科学</w:t>
            </w:r>
            <w:r>
              <w:rPr>
                <w:rFonts w:hint="eastAsia" w:asciiTheme="minorEastAsia" w:hAnsiTheme="minorEastAsia" w:eastAsiaTheme="minorEastAsia" w:cstheme="minorEastAsia"/>
                <w:color w:val="auto"/>
                <w:sz w:val="24"/>
                <w:szCs w:val="24"/>
                <w:highlight w:val="none"/>
              </w:rPr>
              <w:t>完善合理，针对性强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得1分；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938" w:hRule="atLeast"/>
          <w:jc w:val="center"/>
        </w:trPr>
        <w:tc>
          <w:tcPr>
            <w:tcW w:w="723" w:type="dxa"/>
            <w:tcBorders>
              <w:top w:val="single" w:color="auto" w:sz="2" w:space="0"/>
              <w:left w:val="single" w:color="auto" w:sz="2" w:space="0"/>
              <w:bottom w:val="single" w:color="auto" w:sz="2" w:space="0"/>
              <w:right w:val="single" w:color="auto" w:sz="4" w:space="0"/>
            </w:tcBorders>
            <w:noWrap w:val="0"/>
            <w:vAlign w:val="center"/>
          </w:tcPr>
          <w:p>
            <w:pPr>
              <w:pStyle w:val="56"/>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1286" w:type="dxa"/>
            <w:tcBorders>
              <w:top w:val="single" w:color="auto" w:sz="2" w:space="0"/>
              <w:left w:val="single" w:color="auto" w:sz="2" w:space="0"/>
              <w:bottom w:val="single" w:color="auto" w:sz="2" w:space="0"/>
              <w:right w:val="single" w:color="auto" w:sz="4" w:space="0"/>
            </w:tcBorders>
            <w:noWrap w:val="0"/>
            <w:vAlign w:val="center"/>
          </w:tcPr>
          <w:p>
            <w:pPr>
              <w:spacing w:line="360" w:lineRule="auto"/>
              <w:ind w:left="-81" w:leftChars="-37" w:right="-77" w:rightChars="-35"/>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人员培训方案</w:t>
            </w:r>
          </w:p>
        </w:tc>
        <w:tc>
          <w:tcPr>
            <w:tcW w:w="865" w:type="dxa"/>
            <w:tcBorders>
              <w:top w:val="single" w:color="auto" w:sz="2" w:space="0"/>
              <w:left w:val="single" w:color="auto" w:sz="4" w:space="0"/>
              <w:bottom w:val="single" w:color="auto" w:sz="2" w:space="0"/>
              <w:right w:val="single" w:color="auto" w:sz="2" w:space="0"/>
            </w:tcBorders>
            <w:noWrap w:val="0"/>
            <w:vAlign w:val="center"/>
          </w:tcPr>
          <w:p>
            <w:pPr>
              <w:pStyle w:val="56"/>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w:t>
            </w:r>
          </w:p>
        </w:tc>
        <w:tc>
          <w:tcPr>
            <w:tcW w:w="6570" w:type="dxa"/>
            <w:tcBorders>
              <w:top w:val="single" w:color="auto" w:sz="2" w:space="0"/>
              <w:left w:val="single" w:color="auto" w:sz="4" w:space="0"/>
              <w:bottom w:val="single" w:color="auto" w:sz="2" w:space="0"/>
              <w:right w:val="single" w:color="auto" w:sz="2" w:space="0"/>
            </w:tcBorders>
            <w:noWrap w:val="0"/>
            <w:vAlign w:val="center"/>
          </w:tcPr>
          <w:p>
            <w:pPr>
              <w:snapToGrid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根据供应商的人员培训计划、培训内容、培训方式、培训时间进行综合评审</w:t>
            </w:r>
            <w:r>
              <w:rPr>
                <w:rFonts w:hint="eastAsia" w:asciiTheme="minorEastAsia" w:hAnsiTheme="minorEastAsia" w:eastAsiaTheme="minorEastAsia" w:cstheme="minorEastAsia"/>
                <w:color w:val="auto"/>
                <w:sz w:val="24"/>
                <w:szCs w:val="24"/>
                <w:highlight w:val="none"/>
                <w:lang w:eastAsia="zh-CN"/>
              </w:rPr>
              <w:t>。</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科学完善合理，针对性强，得</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 xml:space="preserve">分； </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较科学完善合理，针对性强，得</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基本科学完善合理，针对性强，得</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不够科学完善合理，针对性强，得1分；</w:t>
            </w:r>
          </w:p>
        </w:tc>
      </w:tr>
    </w:tbl>
    <w:p>
      <w:pPr>
        <w:pStyle w:val="4"/>
        <w:numPr>
          <w:ilvl w:val="3"/>
          <w:numId w:val="0"/>
        </w:numPr>
        <w:spacing w:before="0" w:after="0" w:line="360" w:lineRule="auto"/>
        <w:jc w:val="left"/>
        <w:outlineLvl w:val="2"/>
        <w:rPr>
          <w:rFonts w:hint="eastAsia" w:asciiTheme="minorEastAsia" w:hAnsiTheme="minorEastAsia" w:eastAsiaTheme="minorEastAsia" w:cstheme="minorEastAsia"/>
          <w:color w:val="auto"/>
          <w:sz w:val="24"/>
          <w:szCs w:val="24"/>
          <w:highlight w:val="none"/>
        </w:rPr>
      </w:pPr>
      <w:bookmarkStart w:id="169" w:name="_Toc74235858"/>
      <w:bookmarkStart w:id="170" w:name="_Toc23722"/>
      <w:r>
        <w:rPr>
          <w:rFonts w:hint="eastAsia" w:asciiTheme="minorEastAsia" w:hAnsiTheme="minorEastAsia" w:eastAsiaTheme="minorEastAsia" w:cstheme="minorEastAsia"/>
          <w:color w:val="auto"/>
          <w:sz w:val="24"/>
          <w:szCs w:val="24"/>
          <w:highlight w:val="none"/>
        </w:rPr>
        <w:t>3.商务部分（10分）</w:t>
      </w:r>
      <w:bookmarkEnd w:id="169"/>
      <w:bookmarkEnd w:id="170"/>
    </w:p>
    <w:tbl>
      <w:tblPr>
        <w:tblStyle w:val="26"/>
        <w:tblW w:w="930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09"/>
        <w:gridCol w:w="1275"/>
        <w:gridCol w:w="708"/>
        <w:gridCol w:w="660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45" w:hRule="atLeast"/>
          <w:jc w:val="center"/>
        </w:trPr>
        <w:tc>
          <w:tcPr>
            <w:tcW w:w="709" w:type="dxa"/>
            <w:tcBorders>
              <w:top w:val="single" w:color="auto" w:sz="2" w:space="0"/>
              <w:left w:val="single" w:color="auto" w:sz="2" w:space="0"/>
              <w:bottom w:val="single" w:color="auto" w:sz="2" w:space="0"/>
              <w:right w:val="single" w:color="auto" w:sz="4"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序号</w:t>
            </w:r>
          </w:p>
        </w:tc>
        <w:tc>
          <w:tcPr>
            <w:tcW w:w="1275" w:type="dxa"/>
            <w:tcBorders>
              <w:top w:val="single" w:color="auto" w:sz="2" w:space="0"/>
              <w:left w:val="single" w:color="auto" w:sz="4" w:space="0"/>
              <w:bottom w:val="single" w:color="auto" w:sz="2"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评审内容</w:t>
            </w:r>
          </w:p>
        </w:tc>
        <w:tc>
          <w:tcPr>
            <w:tcW w:w="708" w:type="dxa"/>
            <w:tcBorders>
              <w:top w:val="single" w:color="auto" w:sz="4" w:space="0"/>
              <w:left w:val="single" w:color="auto" w:sz="2"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分值</w:t>
            </w:r>
          </w:p>
        </w:tc>
        <w:tc>
          <w:tcPr>
            <w:tcW w:w="6609" w:type="dxa"/>
            <w:tcBorders>
              <w:top w:val="single" w:color="auto" w:sz="4" w:space="0"/>
              <w:left w:val="single" w:color="auto" w:sz="4" w:space="0"/>
              <w:right w:val="single" w:color="auto" w:sz="2" w:space="0"/>
            </w:tcBorders>
            <w:shd w:val="clear" w:color="auto" w:fill="D9D9D9"/>
            <w:noWrap w:val="0"/>
            <w:vAlign w:val="center"/>
          </w:tcPr>
          <w:p>
            <w:pPr>
              <w:pStyle w:val="56"/>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7" w:hRule="atLeast"/>
          <w:jc w:val="center"/>
        </w:trPr>
        <w:tc>
          <w:tcPr>
            <w:tcW w:w="709" w:type="dxa"/>
            <w:tcBorders>
              <w:top w:val="single" w:color="auto" w:sz="2" w:space="0"/>
              <w:left w:val="single" w:color="auto" w:sz="2" w:space="0"/>
              <w:bottom w:val="single" w:color="auto" w:sz="2" w:space="0"/>
              <w:right w:val="single" w:color="auto" w:sz="4" w:space="0"/>
            </w:tcBorders>
            <w:noWrap w:val="0"/>
            <w:vAlign w:val="center"/>
          </w:tcPr>
          <w:p>
            <w:pPr>
              <w:pStyle w:val="57"/>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1275" w:type="dxa"/>
            <w:tcBorders>
              <w:top w:val="single" w:color="auto" w:sz="2" w:space="0"/>
              <w:left w:val="single" w:color="auto" w:sz="4" w:space="0"/>
              <w:bottom w:val="single" w:color="auto" w:sz="2" w:space="0"/>
              <w:right w:val="single" w:color="auto" w:sz="2" w:space="0"/>
            </w:tcBorders>
            <w:noWrap w:val="0"/>
            <w:vAlign w:val="center"/>
          </w:tcPr>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售后服务</w:t>
            </w:r>
          </w:p>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计划</w:t>
            </w:r>
          </w:p>
        </w:tc>
        <w:tc>
          <w:tcPr>
            <w:tcW w:w="708" w:type="dxa"/>
            <w:tcBorders>
              <w:top w:val="single" w:color="auto" w:sz="4" w:space="0"/>
              <w:left w:val="single" w:color="auto" w:sz="2" w:space="0"/>
              <w:bottom w:val="single" w:color="auto" w:sz="4" w:space="0"/>
              <w:right w:val="single" w:color="auto" w:sz="2" w:space="0"/>
            </w:tcBorders>
            <w:noWrap w:val="0"/>
            <w:vAlign w:val="center"/>
          </w:tcPr>
          <w:p>
            <w:pPr>
              <w:pStyle w:val="57"/>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5分</w:t>
            </w:r>
          </w:p>
        </w:tc>
        <w:tc>
          <w:tcPr>
            <w:tcW w:w="6609" w:type="dxa"/>
            <w:tcBorders>
              <w:top w:val="single" w:color="auto" w:sz="4" w:space="0"/>
              <w:left w:val="single" w:color="auto" w:sz="4" w:space="0"/>
              <w:bottom w:val="single" w:color="auto" w:sz="4" w:space="0"/>
              <w:right w:val="single" w:color="auto" w:sz="2" w:space="0"/>
            </w:tcBorders>
            <w:noWrap w:val="0"/>
            <w:vAlign w:val="center"/>
          </w:tcPr>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根据供应商售后服务条款具体可行性，售后服务措施内容及方式等进行评审。</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科学完善合理，针对性强，得</w:t>
            </w:r>
            <w:r>
              <w:rPr>
                <w:rFonts w:hint="eastAsia" w:asciiTheme="minorEastAsia" w:hAnsiTheme="minorEastAsia" w:eastAsiaTheme="minorEastAsia" w:cstheme="minorEastAsia"/>
                <w:color w:val="auto"/>
                <w:kern w:val="0"/>
                <w:sz w:val="24"/>
                <w:szCs w:val="24"/>
                <w:highlight w:val="none"/>
                <w:lang w:val="en-US" w:eastAsia="zh-CN"/>
              </w:rPr>
              <w:t>5</w:t>
            </w:r>
            <w:r>
              <w:rPr>
                <w:rFonts w:hint="eastAsia" w:asciiTheme="minorEastAsia" w:hAnsiTheme="minorEastAsia" w:eastAsiaTheme="minorEastAsia" w:cstheme="minorEastAsia"/>
                <w:color w:val="auto"/>
                <w:kern w:val="0"/>
                <w:sz w:val="24"/>
                <w:szCs w:val="24"/>
                <w:highlight w:val="none"/>
              </w:rPr>
              <w:t xml:space="preserve">分； </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较科学完善合理，针对性强，得</w:t>
            </w:r>
            <w:r>
              <w:rPr>
                <w:rFonts w:hint="eastAsia" w:asciiTheme="minorEastAsia" w:hAnsiTheme="minorEastAsia" w:eastAsiaTheme="minorEastAsia" w:cstheme="minorEastAsia"/>
                <w:color w:val="auto"/>
                <w:kern w:val="0"/>
                <w:sz w:val="24"/>
                <w:szCs w:val="24"/>
                <w:highlight w:val="none"/>
                <w:lang w:val="en-US" w:eastAsia="zh-CN"/>
              </w:rPr>
              <w:t>3</w:t>
            </w:r>
            <w:r>
              <w:rPr>
                <w:rFonts w:hint="eastAsia" w:asciiTheme="minorEastAsia" w:hAnsiTheme="minorEastAsia" w:eastAsiaTheme="minorEastAsia" w:cstheme="minorEastAsia"/>
                <w:color w:val="auto"/>
                <w:kern w:val="0"/>
                <w:sz w:val="24"/>
                <w:szCs w:val="24"/>
                <w:highlight w:val="none"/>
              </w:rPr>
              <w:t>分；</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基本科学完善合理，针对性强，得</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分；</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不够科学完善合理，针对性强，得1分；</w:t>
            </w:r>
            <w:r>
              <w:rPr>
                <w:rFonts w:hint="eastAsia" w:asciiTheme="minorEastAsia" w:hAnsiTheme="minorEastAsia" w:eastAsiaTheme="minorEastAsia" w:cstheme="minorEastAsia"/>
                <w:color w:val="auto"/>
                <w:sz w:val="24"/>
                <w:szCs w:val="24"/>
                <w:highlight w:val="none"/>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261" w:hRule="atLeast"/>
          <w:jc w:val="center"/>
        </w:trPr>
        <w:tc>
          <w:tcPr>
            <w:tcW w:w="709" w:type="dxa"/>
            <w:tcBorders>
              <w:top w:val="single" w:color="auto" w:sz="2" w:space="0"/>
              <w:left w:val="single" w:color="auto" w:sz="2" w:space="0"/>
              <w:bottom w:val="single" w:color="auto" w:sz="2" w:space="0"/>
              <w:right w:val="single" w:color="auto" w:sz="4" w:space="0"/>
            </w:tcBorders>
            <w:noWrap w:val="0"/>
            <w:vAlign w:val="center"/>
          </w:tcPr>
          <w:p>
            <w:pPr>
              <w:pStyle w:val="57"/>
              <w:spacing w:line="360" w:lineRule="auto"/>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1275" w:type="dxa"/>
            <w:tcBorders>
              <w:top w:val="single" w:color="auto" w:sz="2" w:space="0"/>
              <w:left w:val="single" w:color="auto" w:sz="4" w:space="0"/>
              <w:bottom w:val="single" w:color="auto" w:sz="2" w:space="0"/>
              <w:right w:val="single" w:color="auto" w:sz="2" w:space="0"/>
            </w:tcBorders>
            <w:noWrap w:val="0"/>
            <w:vAlign w:val="center"/>
          </w:tcPr>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服务承诺</w:t>
            </w:r>
          </w:p>
        </w:tc>
        <w:tc>
          <w:tcPr>
            <w:tcW w:w="708" w:type="dxa"/>
            <w:tcBorders>
              <w:top w:val="single" w:color="auto" w:sz="4" w:space="0"/>
              <w:left w:val="single" w:color="auto" w:sz="2" w:space="0"/>
              <w:bottom w:val="single" w:color="auto" w:sz="4" w:space="0"/>
              <w:right w:val="single" w:color="auto" w:sz="2" w:space="0"/>
            </w:tcBorders>
            <w:noWrap w:val="0"/>
            <w:vAlign w:val="center"/>
          </w:tcPr>
          <w:p>
            <w:pPr>
              <w:pStyle w:val="57"/>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w:t>
            </w:r>
          </w:p>
        </w:tc>
        <w:tc>
          <w:tcPr>
            <w:tcW w:w="6609" w:type="dxa"/>
            <w:tcBorders>
              <w:top w:val="single" w:color="auto" w:sz="4" w:space="0"/>
              <w:left w:val="single" w:color="auto" w:sz="4" w:space="0"/>
              <w:bottom w:val="single" w:color="auto" w:sz="4" w:space="0"/>
              <w:right w:val="single" w:color="auto" w:sz="2" w:space="0"/>
            </w:tcBorders>
            <w:noWrap w:val="0"/>
            <w:vAlign w:val="center"/>
          </w:tcPr>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根据供应商承诺的服务内容、形式，问题解决、质量响应时间，质保期限等情况评审。</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科学完善合理，针对性强，得</w:t>
            </w:r>
            <w:r>
              <w:rPr>
                <w:rFonts w:hint="eastAsia" w:asciiTheme="minorEastAsia" w:hAnsiTheme="minorEastAsia" w:eastAsiaTheme="minorEastAsia" w:cstheme="minorEastAsia"/>
                <w:color w:val="auto"/>
                <w:kern w:val="0"/>
                <w:sz w:val="24"/>
                <w:szCs w:val="24"/>
                <w:highlight w:val="none"/>
                <w:lang w:val="en-US" w:eastAsia="zh-CN"/>
              </w:rPr>
              <w:t>5</w:t>
            </w:r>
            <w:r>
              <w:rPr>
                <w:rFonts w:hint="eastAsia" w:asciiTheme="minorEastAsia" w:hAnsiTheme="minorEastAsia" w:eastAsiaTheme="minorEastAsia" w:cstheme="minorEastAsia"/>
                <w:color w:val="auto"/>
                <w:kern w:val="0"/>
                <w:sz w:val="24"/>
                <w:szCs w:val="24"/>
                <w:highlight w:val="none"/>
              </w:rPr>
              <w:t xml:space="preserve">分； </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较科学完善合理，针对性强，得</w:t>
            </w:r>
            <w:r>
              <w:rPr>
                <w:rFonts w:hint="eastAsia" w:asciiTheme="minorEastAsia" w:hAnsiTheme="minorEastAsia" w:eastAsiaTheme="minorEastAsia" w:cstheme="minorEastAsia"/>
                <w:color w:val="auto"/>
                <w:kern w:val="0"/>
                <w:sz w:val="24"/>
                <w:szCs w:val="24"/>
                <w:highlight w:val="none"/>
                <w:lang w:val="en-US" w:eastAsia="zh-CN"/>
              </w:rPr>
              <w:t>3</w:t>
            </w:r>
            <w:r>
              <w:rPr>
                <w:rFonts w:hint="eastAsia" w:asciiTheme="minorEastAsia" w:hAnsiTheme="minorEastAsia" w:eastAsiaTheme="minorEastAsia" w:cstheme="minorEastAsia"/>
                <w:color w:val="auto"/>
                <w:kern w:val="0"/>
                <w:sz w:val="24"/>
                <w:szCs w:val="24"/>
                <w:highlight w:val="none"/>
              </w:rPr>
              <w:t>分；</w:t>
            </w:r>
          </w:p>
          <w:p>
            <w:pPr>
              <w:snapToGrid w:val="0"/>
              <w:spacing w:line="360" w:lineRule="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基本科学完善合理，针对性强，得</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rPr>
              <w:t>分；</w:t>
            </w:r>
          </w:p>
          <w:p>
            <w:pPr>
              <w:snapToGrid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不够科学完善合理，针对性强，得1分；</w:t>
            </w:r>
          </w:p>
        </w:tc>
      </w:tr>
      <w:bookmarkEnd w:id="166"/>
    </w:tbl>
    <w:p>
      <w:pPr>
        <w:rPr>
          <w:rFonts w:hint="eastAsia" w:asciiTheme="minorEastAsia" w:hAnsiTheme="minorEastAsia" w:eastAsiaTheme="minorEastAsia" w:cstheme="minorEastAsia"/>
          <w:b/>
          <w:color w:val="auto"/>
          <w:w w:val="95"/>
          <w:sz w:val="24"/>
          <w:szCs w:val="24"/>
          <w:highlight w:val="none"/>
        </w:rPr>
      </w:pPr>
    </w:p>
    <w:p>
      <w:pPr>
        <w:pageBreakBefore w:val="0"/>
        <w:kinsoku/>
        <w:wordWrap w:val="0"/>
        <w:overflowPunct/>
        <w:topLinePunct w:val="0"/>
        <w:bidi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rPr>
        <w:t>注：</w:t>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val="zh-TW" w:eastAsia="zh-TW"/>
        </w:rPr>
        <w:t>以上各评分项，若有缺项则该项不得</w:t>
      </w:r>
      <w:r>
        <w:rPr>
          <w:rFonts w:hint="eastAsia" w:ascii="宋体" w:hAnsi="宋体" w:eastAsia="宋体" w:cs="宋体"/>
          <w:color w:val="auto"/>
          <w:sz w:val="21"/>
          <w:szCs w:val="21"/>
          <w:highlight w:val="none"/>
          <w:lang w:val="zh-TW"/>
        </w:rPr>
        <w:t>分。</w:t>
      </w:r>
    </w:p>
    <w:p>
      <w:pPr>
        <w:pageBreakBefore w:val="0"/>
        <w:kinsoku/>
        <w:wordWrap w:val="0"/>
        <w:overflowPunct/>
        <w:topLinePunct w:val="0"/>
        <w:bidi w:val="0"/>
        <w:spacing w:line="560" w:lineRule="exact"/>
        <w:ind w:firstLine="480"/>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val="zh-TW" w:eastAsia="zh-TW"/>
        </w:rPr>
        <w:t>计分过程中按四舍五入的法则，最终结果取至小数点后</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TW" w:eastAsia="zh-TW"/>
        </w:rPr>
        <w:t>位。根据评标委员会成员打分，以所有评委打分的算术平均值作为</w:t>
      </w:r>
      <w:r>
        <w:rPr>
          <w:rFonts w:hint="eastAsia" w:ascii="宋体" w:hAnsi="宋体" w:eastAsia="宋体" w:cs="宋体"/>
          <w:color w:val="auto"/>
          <w:sz w:val="21"/>
          <w:szCs w:val="21"/>
          <w:highlight w:val="none"/>
          <w:lang w:val="zh-TW"/>
        </w:rPr>
        <w:t>供应商</w:t>
      </w:r>
      <w:r>
        <w:rPr>
          <w:rFonts w:hint="eastAsia" w:ascii="宋体" w:hAnsi="宋体" w:eastAsia="宋体" w:cs="宋体"/>
          <w:color w:val="auto"/>
          <w:sz w:val="21"/>
          <w:szCs w:val="21"/>
          <w:highlight w:val="none"/>
          <w:lang w:val="zh-TW" w:eastAsia="zh-TW"/>
        </w:rPr>
        <w:t>的最终得分，并按照最终得分由高到低的顺序推荐</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TW" w:eastAsia="zh-TW"/>
        </w:rPr>
        <w:t>名中标候选人。</w:t>
      </w:r>
    </w:p>
    <w:p>
      <w:pPr>
        <w:pageBreakBefore w:val="0"/>
        <w:kinsoku/>
        <w:wordWrap w:val="0"/>
        <w:overflowPunct/>
        <w:topLinePunct w:val="0"/>
        <w:bidi w:val="0"/>
        <w:spacing w:line="56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③政府采购政策：</w:t>
      </w:r>
    </w:p>
    <w:p>
      <w:pPr>
        <w:pageBreakBefore w:val="0"/>
        <w:kinsoku/>
        <w:wordWrap w:val="0"/>
        <w:overflowPunct/>
        <w:topLinePunct w:val="0"/>
        <w:bidi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1、本次招标对于</w:t>
      </w:r>
      <w:r>
        <w:rPr>
          <w:rFonts w:hint="eastAsia" w:ascii="宋体" w:hAnsi="宋体" w:eastAsia="宋体" w:cs="宋体"/>
          <w:b/>
          <w:bCs/>
          <w:color w:val="auto"/>
          <w:sz w:val="21"/>
          <w:szCs w:val="21"/>
          <w:highlight w:val="none"/>
        </w:rPr>
        <w:t>小</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微</w:t>
      </w:r>
      <w:r>
        <w:rPr>
          <w:rFonts w:hint="eastAsia" w:ascii="宋体" w:hAnsi="宋体" w:eastAsia="宋体" w:cs="宋体"/>
          <w:b/>
          <w:bCs/>
          <w:color w:val="auto"/>
          <w:sz w:val="21"/>
          <w:szCs w:val="21"/>
          <w:highlight w:val="none"/>
        </w:rPr>
        <w:t>型企业、监狱企业</w:t>
      </w:r>
      <w:r>
        <w:rPr>
          <w:rFonts w:hint="eastAsia" w:ascii="宋体" w:hAnsi="宋体" w:eastAsia="宋体" w:cs="宋体"/>
          <w:color w:val="auto"/>
          <w:sz w:val="21"/>
          <w:szCs w:val="21"/>
          <w:highlight w:val="none"/>
        </w:rPr>
        <w:t>实行评审优惠，对于</w:t>
      </w:r>
      <w:r>
        <w:rPr>
          <w:rFonts w:hint="eastAsia" w:ascii="宋体" w:hAnsi="宋体" w:eastAsia="宋体" w:cs="宋体"/>
          <w:b/>
          <w:bCs/>
          <w:color w:val="auto"/>
          <w:sz w:val="21"/>
          <w:szCs w:val="21"/>
          <w:highlight w:val="none"/>
        </w:rPr>
        <w:t>中型企业</w:t>
      </w:r>
      <w:r>
        <w:rPr>
          <w:rFonts w:hint="eastAsia" w:ascii="宋体" w:hAnsi="宋体" w:eastAsia="宋体" w:cs="宋体"/>
          <w:color w:val="auto"/>
          <w:sz w:val="21"/>
          <w:szCs w:val="21"/>
          <w:highlight w:val="none"/>
        </w:rPr>
        <w:t>供应商的投标价格不予扣除，</w:t>
      </w:r>
      <w:r>
        <w:rPr>
          <w:rFonts w:hint="eastAsia" w:ascii="宋体" w:hAnsi="宋体" w:eastAsia="宋体" w:cs="宋体"/>
          <w:b/>
          <w:bCs/>
          <w:color w:val="auto"/>
          <w:sz w:val="21"/>
          <w:szCs w:val="21"/>
          <w:highlight w:val="none"/>
        </w:rPr>
        <w:t>小型、微型、监狱企业</w:t>
      </w:r>
      <w:r>
        <w:rPr>
          <w:rFonts w:hint="eastAsia" w:ascii="宋体" w:hAnsi="宋体" w:eastAsia="宋体" w:cs="宋体"/>
          <w:color w:val="auto"/>
          <w:sz w:val="21"/>
          <w:szCs w:val="21"/>
          <w:highlight w:val="none"/>
        </w:rPr>
        <w:t>投标单位的投标价格给予</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%的扣除，以扣除后的价格作为最终评标价参与报价得分的评审，此价格仅用于报价计算分值使用，不作为签订合同的依据。</w:t>
      </w:r>
    </w:p>
    <w:p>
      <w:pPr>
        <w:pageBreakBefore w:val="0"/>
        <w:kinsoku/>
        <w:wordWrap w:val="0"/>
        <w:overflowPunct/>
        <w:topLinePunct w:val="0"/>
        <w:bidi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b/>
          <w:bCs/>
          <w:color w:val="auto"/>
          <w:sz w:val="21"/>
          <w:szCs w:val="21"/>
          <w:highlight w:val="none"/>
        </w:rPr>
        <w:t>小型和微型企业认定：</w:t>
      </w:r>
      <w:r>
        <w:rPr>
          <w:rFonts w:hint="eastAsia" w:ascii="宋体" w:hAnsi="宋体" w:eastAsia="宋体" w:cs="宋体"/>
          <w:color w:val="auto"/>
          <w:sz w:val="21"/>
          <w:szCs w:val="21"/>
          <w:highlight w:val="none"/>
        </w:rPr>
        <w:t>投标文件附有中小企业声明函（供应商为代理商且为</w:t>
      </w:r>
      <w:r>
        <w:rPr>
          <w:rFonts w:hint="eastAsia" w:ascii="宋体" w:hAnsi="宋体" w:eastAsia="宋体" w:cs="宋体"/>
          <w:color w:val="auto"/>
          <w:sz w:val="21"/>
          <w:szCs w:val="21"/>
          <w:highlight w:val="none"/>
          <w:lang w:val="en-US" w:eastAsia="zh-CN"/>
        </w:rPr>
        <w:t>中型或大型</w:t>
      </w:r>
      <w:r>
        <w:rPr>
          <w:rFonts w:hint="eastAsia" w:ascii="宋体" w:hAnsi="宋体" w:eastAsia="宋体" w:cs="宋体"/>
          <w:color w:val="auto"/>
          <w:sz w:val="21"/>
          <w:szCs w:val="21"/>
          <w:highlight w:val="none"/>
        </w:rPr>
        <w:t>企业同时提供小型、微型企业制造的货物时，视为小型和微型企业，此时产品制造商须同时提供中小企业声明函），方可以认定为小型和微型企业并享受价格优惠。</w:t>
      </w:r>
      <w:r>
        <w:rPr>
          <w:rFonts w:hint="eastAsia" w:ascii="宋体" w:hAnsi="宋体" w:eastAsia="宋体" w:cs="宋体"/>
          <w:b/>
          <w:bCs/>
          <w:color w:val="auto"/>
          <w:sz w:val="21"/>
          <w:szCs w:val="21"/>
          <w:highlight w:val="none"/>
        </w:rPr>
        <w:t>供应商出具的中小企业声明函如有虚假，其中标资格将被取消，并列入财政部“政府采购严重违法失信行为信息记录”。</w:t>
      </w:r>
    </w:p>
    <w:p>
      <w:pPr>
        <w:pageBreakBefore w:val="0"/>
        <w:numPr>
          <w:ilvl w:val="0"/>
          <w:numId w:val="4"/>
        </w:numPr>
        <w:kinsoku/>
        <w:wordWrap w:val="0"/>
        <w:overflowPunct/>
        <w:topLinePunct w:val="0"/>
        <w:bidi w:val="0"/>
        <w:spacing w:line="56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监狱企业认定：</w:t>
      </w:r>
    </w:p>
    <w:p>
      <w:pPr>
        <w:pageBreakBefore w:val="0"/>
        <w:kinsoku/>
        <w:wordWrap w:val="0"/>
        <w:overflowPunct/>
        <w:topLinePunct w:val="0"/>
        <w:bidi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根据财库〔2014〕68号《财政部 司法部关于政府采购支持监狱企业发展有关问题的通知》，</w:t>
      </w:r>
      <w:r>
        <w:rPr>
          <w:rFonts w:hint="eastAsia" w:ascii="宋体" w:hAnsi="宋体" w:eastAsia="宋体" w:cs="宋体"/>
          <w:b/>
          <w:bCs/>
          <w:color w:val="auto"/>
          <w:sz w:val="21"/>
          <w:szCs w:val="21"/>
          <w:highlight w:val="none"/>
        </w:rPr>
        <w:t>监狱企业视同小微企业</w:t>
      </w:r>
      <w:r>
        <w:rPr>
          <w:rFonts w:hint="eastAsia" w:ascii="宋体" w:hAnsi="宋体" w:eastAsia="宋体" w:cs="宋体"/>
          <w:color w:val="auto"/>
          <w:sz w:val="21"/>
          <w:szCs w:val="21"/>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投标时，提供由省级以上监狱管理局、戒毒管理局(含新疆生产建设兵团)出具的属于监狱企业的证明文件，不再提供《中小微企业声明函》,供应商出具有的监狱企业证明文件如有虚假，其中标资格将被取消，并列入财政部“政府采购严重违法失信行为信息记录”。</w:t>
      </w:r>
    </w:p>
    <w:p>
      <w:pPr>
        <w:pageBreakBefore w:val="0"/>
        <w:kinsoku/>
        <w:wordWrap w:val="0"/>
        <w:overflowPunct/>
        <w:topLinePunct w:val="0"/>
        <w:bidi w:val="0"/>
        <w:spacing w:line="560" w:lineRule="exact"/>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4、残疾人福利性单位发展扶持政策：</w:t>
      </w:r>
    </w:p>
    <w:p>
      <w:pPr>
        <w:pageBreakBefore w:val="0"/>
        <w:kinsoku/>
        <w:wordWrap w:val="0"/>
        <w:overflowPunct/>
        <w:topLinePunct w:val="0"/>
        <w:bidi w:val="0"/>
        <w:spacing w:line="5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bookmarkStart w:id="171" w:name="sendNo"/>
      <w:r>
        <w:rPr>
          <w:rFonts w:hint="eastAsia" w:ascii="宋体" w:hAnsi="宋体" w:eastAsia="宋体" w:cs="宋体"/>
          <w:color w:val="auto"/>
          <w:sz w:val="21"/>
          <w:szCs w:val="21"/>
          <w:highlight w:val="none"/>
        </w:rPr>
        <w:t>财库〔</w:t>
      </w:r>
      <w:bookmarkEnd w:id="171"/>
      <w:r>
        <w:rPr>
          <w:rFonts w:hint="eastAsia" w:ascii="宋体" w:hAnsi="宋体" w:eastAsia="宋体" w:cs="宋体"/>
          <w:color w:val="auto"/>
          <w:sz w:val="21"/>
          <w:szCs w:val="21"/>
          <w:highlight w:val="none"/>
        </w:rPr>
        <w:t>2017〕141号《三部门联合发布关于促进残疾人就业政府采购政策的通知》</w:t>
      </w:r>
      <w:r>
        <w:rPr>
          <w:rFonts w:hint="eastAsia" w:ascii="宋体" w:hAnsi="宋体" w:eastAsia="宋体" w:cs="宋体"/>
          <w:b/>
          <w:bCs/>
          <w:color w:val="auto"/>
          <w:sz w:val="21"/>
          <w:szCs w:val="21"/>
          <w:highlight w:val="none"/>
        </w:rPr>
        <w:t>残疾人福利性单位视同小型、微型企业</w:t>
      </w:r>
      <w:r>
        <w:rPr>
          <w:rFonts w:hint="eastAsia" w:ascii="宋体" w:hAnsi="宋体" w:eastAsia="宋体" w:cs="宋体"/>
          <w:color w:val="auto"/>
          <w:sz w:val="21"/>
          <w:szCs w:val="21"/>
          <w:highlight w:val="none"/>
        </w:rPr>
        <w:t>，属于残疾人福利性单位的提供《残疾人福利性单位声明函》，不再提供《中小微企业声明函》，供应商在残疾人福利性单位声明函》中的承诺如有虚假，其中标资格将被取消，并列入财政部“政府采购严重违法失信行为信息记录”。</w:t>
      </w:r>
    </w:p>
    <w:p>
      <w:pPr>
        <w:pStyle w:val="59"/>
        <w:pageBreakBefore w:val="0"/>
        <w:kinsoku/>
        <w:wordWrap w:val="0"/>
        <w:overflowPunct/>
        <w:topLinePunct w:val="0"/>
        <w:bidi w:val="0"/>
        <w:spacing w:line="560" w:lineRule="exact"/>
        <w:ind w:firstLine="316" w:firstLineChars="15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5、节能产品、环境标志产品：</w:t>
      </w:r>
    </w:p>
    <w:p>
      <w:pPr>
        <w:pStyle w:val="59"/>
        <w:pageBreakBefore w:val="0"/>
        <w:kinsoku/>
        <w:wordWrap w:val="0"/>
        <w:overflowPunct/>
        <w:topLinePunct w:val="0"/>
        <w:bidi w:val="0"/>
        <w:spacing w:line="560" w:lineRule="exact"/>
        <w:ind w:firstLine="315" w:firstLineChars="150"/>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根据相关政府采购政策，对政府采购节能产品、环境标志产品实施品目清单管理，依据品目清单和认证证书实施政府优先采购和强制采购。采购人拟采购的产品属于“节能产品政府采购品目清单”或“环境标志产品政府品目采购清单”范围的，采购人及其委托的采购代理机构应当依据国家确定的认证机构出具的、处于有效期之内的节能产品、环境标志产品认证证书，对获得证书的产品实施政府优先采购或强制采购。</w:t>
      </w:r>
    </w:p>
    <w:p>
      <w:pPr>
        <w:pStyle w:val="59"/>
        <w:pageBreakBefore w:val="0"/>
        <w:kinsoku/>
        <w:wordWrap w:val="0"/>
        <w:overflowPunct/>
        <w:topLinePunct w:val="0"/>
        <w:bidi w:val="0"/>
        <w:spacing w:line="560" w:lineRule="exact"/>
        <w:ind w:firstLine="316" w:firstLineChars="15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6、节能产品、环境标志产品价格扣除：</w:t>
      </w:r>
    </w:p>
    <w:p>
      <w:pPr>
        <w:pStyle w:val="59"/>
        <w:pageBreakBefore w:val="0"/>
        <w:kinsoku/>
        <w:wordWrap w:val="0"/>
        <w:overflowPunct/>
        <w:topLinePunct w:val="0"/>
        <w:bidi w:val="0"/>
        <w:spacing w:line="560" w:lineRule="exact"/>
        <w:ind w:firstLine="315" w:firstLineChars="15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（1）拟采购产品属于节能产品政府采购品目清单规定必须强制采购的，实行强制采购。</w:t>
      </w:r>
    </w:p>
    <w:p>
      <w:pPr>
        <w:pStyle w:val="59"/>
        <w:pageBreakBefore w:val="0"/>
        <w:kinsoku/>
        <w:wordWrap w:val="0"/>
        <w:overflowPunct/>
        <w:topLinePunct w:val="0"/>
        <w:bidi w:val="0"/>
        <w:spacing w:line="560" w:lineRule="exact"/>
        <w:ind w:firstLine="315" w:firstLineChars="15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本次采购产品在财政部、发展改革委、生态环境部等部门最新发布的《节能产品政府采购品目清单》或《环境标志产品政府采购品目清单》的清单范围内优先采购的节能产品、环境标志产品类别，对于具有国家确定的认证机构出具的、处于有效期之内的节能产品或环境标志产品认证证书的，对节能产品或环境标志产品的价格分别给予1%的价格扣除。 </w:t>
      </w:r>
    </w:p>
    <w:p>
      <w:pPr>
        <w:pStyle w:val="59"/>
        <w:pageBreakBefore w:val="0"/>
        <w:kinsoku/>
        <w:wordWrap w:val="0"/>
        <w:overflowPunct/>
        <w:topLinePunct w:val="0"/>
        <w:bidi w:val="0"/>
        <w:spacing w:line="560" w:lineRule="exact"/>
        <w:ind w:firstLine="315" w:firstLineChars="15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（3）属于品目清单范围内的节能或环境标志产品，应当提供国家确定的认证机构出具的、处于有效期之内的节能产品或环境标志产品认证证书复印件，并加盖投标人单位的公章。</w:t>
      </w:r>
    </w:p>
    <w:p>
      <w:pPr>
        <w:pStyle w:val="59"/>
        <w:pageBreakBefore w:val="0"/>
        <w:kinsoku/>
        <w:wordWrap w:val="0"/>
        <w:overflowPunct/>
        <w:topLinePunct w:val="0"/>
        <w:bidi w:val="0"/>
        <w:spacing w:line="560" w:lineRule="exact"/>
        <w:ind w:firstLine="316" w:firstLineChars="150"/>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7、无线局域网产品价格折扣：</w:t>
      </w:r>
    </w:p>
    <w:p>
      <w:pPr>
        <w:pStyle w:val="59"/>
        <w:pageBreakBefore w:val="0"/>
        <w:kinsoku/>
        <w:wordWrap w:val="0"/>
        <w:overflowPunct/>
        <w:topLinePunct w:val="0"/>
        <w:bidi w:val="0"/>
        <w:spacing w:line="560" w:lineRule="exact"/>
        <w:ind w:firstLine="315" w:firstLineChars="150"/>
        <w:rPr>
          <w:rFonts w:hint="eastAsia" w:asciiTheme="minorEastAsia" w:hAnsiTheme="minorEastAsia" w:eastAsiaTheme="minorEastAsia" w:cstheme="minorEastAsia"/>
          <w:b/>
          <w:color w:val="auto"/>
          <w:w w:val="95"/>
          <w:sz w:val="24"/>
          <w:szCs w:val="24"/>
          <w:highlight w:val="none"/>
        </w:rPr>
      </w:pPr>
      <w:r>
        <w:rPr>
          <w:rFonts w:hint="eastAsia" w:ascii="宋体" w:hAnsi="宋体" w:eastAsia="宋体" w:cs="宋体"/>
          <w:b w:val="0"/>
          <w:bCs/>
          <w:color w:val="auto"/>
          <w:sz w:val="21"/>
          <w:szCs w:val="21"/>
          <w:highlight w:val="none"/>
          <w:lang w:val="en-US" w:eastAsia="zh-CN"/>
        </w:rPr>
        <w:t>本次采购产品在财政部、国家发展改革委、信息产业部等部门最新发布的《无限局域网认证产品政府采购清单》的清单范围内优先采购的无线局域网产品类别，对于具有国家确定的认证机构出具的、处于有效期之内的无线局域网产品认证证书的，对无线局域网产品的价格给予1%的价格扣除。</w:t>
      </w:r>
      <w:r>
        <w:rPr>
          <w:rFonts w:hint="eastAsia" w:ascii="宋体" w:hAnsi="宋体" w:eastAsia="宋体" w:cs="宋体"/>
          <w:b w:val="0"/>
          <w:bCs/>
          <w:color w:val="auto"/>
          <w:kern w:val="0"/>
          <w:sz w:val="21"/>
          <w:szCs w:val="21"/>
          <w:highlight w:val="none"/>
          <w:lang w:val="en-US" w:eastAsia="zh-CN" w:bidi="zh-CN"/>
        </w:rPr>
        <w:t xml:space="preserve"> </w:t>
      </w:r>
      <w:r>
        <w:rPr>
          <w:rFonts w:hint="eastAsia" w:asciiTheme="minorEastAsia" w:hAnsiTheme="minorEastAsia" w:eastAsiaTheme="minorEastAsia" w:cstheme="minorEastAsia"/>
          <w:b/>
          <w:color w:val="auto"/>
          <w:w w:val="95"/>
          <w:sz w:val="24"/>
          <w:szCs w:val="24"/>
          <w:highlight w:val="none"/>
        </w:rPr>
        <w:br w:type="page"/>
      </w:r>
    </w:p>
    <w:p>
      <w:pPr>
        <w:pStyle w:val="4"/>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482" w:firstLineChars="200"/>
        <w:jc w:val="left"/>
        <w:textAlignment w:val="auto"/>
        <w:outlineLvl w:val="1"/>
        <w:rPr>
          <w:rFonts w:hint="eastAsia"/>
          <w:b/>
          <w:bCs/>
          <w:color w:val="auto"/>
          <w:sz w:val="24"/>
          <w:szCs w:val="24"/>
          <w:highlight w:val="none"/>
        </w:rPr>
      </w:pPr>
      <w:bookmarkStart w:id="172" w:name="_Toc20115"/>
      <w:r>
        <w:rPr>
          <w:rFonts w:hint="eastAsia"/>
          <w:b/>
          <w:bCs/>
          <w:color w:val="auto"/>
          <w:sz w:val="24"/>
          <w:szCs w:val="24"/>
          <w:highlight w:val="none"/>
        </w:rPr>
        <w:t>1.评审方法</w:t>
      </w:r>
      <w:bookmarkEnd w:id="172"/>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本次评审采用综合评分法。磋商小组对通过形式性、资格性和符合性审查的响应文件，按照本章规定的评分标准进行打分，并按得分由高到低顺序推荐成交候选人，综合评分相等时，以报价得分高的优先；报价得分也相等的，由采购人自行确定。</w:t>
      </w:r>
    </w:p>
    <w:p>
      <w:pPr>
        <w:pStyle w:val="4"/>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482" w:firstLineChars="200"/>
        <w:jc w:val="left"/>
        <w:textAlignment w:val="auto"/>
        <w:outlineLvl w:val="1"/>
        <w:rPr>
          <w:rFonts w:hint="eastAsia"/>
          <w:b/>
          <w:bCs/>
          <w:color w:val="auto"/>
          <w:sz w:val="24"/>
          <w:szCs w:val="24"/>
          <w:highlight w:val="none"/>
        </w:rPr>
      </w:pPr>
      <w:bookmarkStart w:id="173" w:name="_Toc13126"/>
      <w:r>
        <w:rPr>
          <w:rFonts w:hint="eastAsia"/>
          <w:b/>
          <w:bCs/>
          <w:color w:val="auto"/>
          <w:sz w:val="24"/>
          <w:szCs w:val="24"/>
          <w:highlight w:val="none"/>
        </w:rPr>
        <w:t>2.评审标准</w:t>
      </w:r>
      <w:bookmarkEnd w:id="173"/>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2.1初步评审标准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2.1.1形式检查评审标准：见评审办法前附表。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2.1.2资格性检查评审标准：见评审办法前附表。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2.1.3响应性检查评审标准：见评审办法前附表。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2.2分值构成与评分标准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（1）报价部分：见评审办法前附表；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（2）商务部分：见评审办法前附表；</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（3）技术部分：见评审办法前附表；</w:t>
      </w:r>
    </w:p>
    <w:p>
      <w:pPr>
        <w:pStyle w:val="4"/>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482" w:firstLineChars="200"/>
        <w:jc w:val="left"/>
        <w:textAlignment w:val="auto"/>
        <w:outlineLvl w:val="1"/>
        <w:rPr>
          <w:rFonts w:hint="eastAsia"/>
          <w:b/>
          <w:bCs/>
          <w:color w:val="auto"/>
          <w:sz w:val="24"/>
          <w:szCs w:val="24"/>
          <w:highlight w:val="none"/>
        </w:rPr>
      </w:pPr>
      <w:bookmarkStart w:id="174" w:name="_Toc18214"/>
      <w:r>
        <w:rPr>
          <w:rFonts w:hint="eastAsia"/>
          <w:b/>
          <w:bCs/>
          <w:color w:val="auto"/>
          <w:sz w:val="24"/>
          <w:szCs w:val="24"/>
          <w:highlight w:val="none"/>
        </w:rPr>
        <w:t>3.评审程序</w:t>
      </w:r>
      <w:bookmarkEnd w:id="174"/>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3.1初步评审</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3.1.1磋商小组依据本章第 2.1 款规定的标准对响应文件进行初步评审。有一项不符合评审标准的，作废标处理。</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3.1.2供应商有以下情形之一的，其响应文件作无效处理：</w:t>
      </w:r>
    </w:p>
    <w:p>
      <w:pPr>
        <w:pageBreakBefore w:val="0"/>
        <w:kinsoku/>
        <w:wordWrap w:val="0"/>
        <w:overflowPunct/>
        <w:topLinePunct w:val="0"/>
        <w:bidi w:val="0"/>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（1）串通或弄虚作假或有其他违法行为的；</w:t>
      </w:r>
    </w:p>
    <w:p>
      <w:pPr>
        <w:pageBreakBefore w:val="0"/>
        <w:kinsoku/>
        <w:wordWrap w:val="0"/>
        <w:overflowPunct/>
        <w:topLinePunct w:val="0"/>
        <w:bidi w:val="0"/>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（2）不按磋商小组要求澄清、说明或补正的；</w:t>
      </w:r>
    </w:p>
    <w:p>
      <w:pPr>
        <w:pageBreakBefore w:val="0"/>
        <w:kinsoku/>
        <w:wordWrap w:val="0"/>
        <w:overflowPunct/>
        <w:topLinePunct w:val="0"/>
        <w:bidi w:val="0"/>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（3）未按规定格式填写、内容不全或关键字迹模糊、无法辨认的；</w:t>
      </w:r>
    </w:p>
    <w:p>
      <w:pPr>
        <w:pageBreakBefore w:val="0"/>
        <w:kinsoku/>
        <w:wordWrap w:val="0"/>
        <w:overflowPunct/>
        <w:topLinePunct w:val="0"/>
        <w:bidi w:val="0"/>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（4）响应文件附有采购人不能接受的条件；</w:t>
      </w:r>
    </w:p>
    <w:p>
      <w:pPr>
        <w:pageBreakBefore w:val="0"/>
        <w:kinsoku/>
        <w:wordWrap w:val="0"/>
        <w:overflowPunct/>
        <w:topLinePunct w:val="0"/>
        <w:bidi w:val="0"/>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（5）不符合磋商文件规定的其他实质性要求；</w:t>
      </w:r>
    </w:p>
    <w:p>
      <w:pPr>
        <w:pageBreakBefore w:val="0"/>
        <w:kinsoku/>
        <w:wordWrap w:val="0"/>
        <w:overflowPunct/>
        <w:topLinePunct w:val="0"/>
        <w:bidi w:val="0"/>
        <w:spacing w:line="360" w:lineRule="auto"/>
        <w:ind w:firstLine="420" w:firstLineChars="175"/>
        <w:rPr>
          <w:rFonts w:hint="eastAsia" w:ascii="宋体" w:hAnsi="宋体" w:cs="宋体"/>
          <w:color w:val="auto"/>
          <w:sz w:val="24"/>
          <w:highlight w:val="none"/>
        </w:rPr>
      </w:pPr>
      <w:r>
        <w:rPr>
          <w:rFonts w:hint="eastAsia" w:ascii="宋体" w:hAnsi="宋体" w:cs="宋体"/>
          <w:color w:val="auto"/>
          <w:sz w:val="24"/>
          <w:highlight w:val="none"/>
        </w:rPr>
        <w:t>（6）与其他供应商响应文件制作机器码一致的。</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3.1.3根据《河南省财政厅关于防范供应商串通投标促进政府采购公平竞争的通知》（豫财购〔2021〕6 号），参与同一个标(包)段的供应商存在下列情形之一的,其投标(响应)文件无效：</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（1）不同供应商的电子投标(响应)文件上传计机的网卡 MAC 地址、CPU 序列号和硬盘序列号等硬件信息相同的；</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（1）不同供应商的投标(响应)文件由同一电子设备编制、打印加密或者上传；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（2）不同供应商的投标(响应)文件由同一电子设备打印、复印；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（4）不同供应商的投标(响应)文件的内容存在两处以上细节错误一致；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（5）不同供应商的法定代表人、委托代理人、项目经理、项目负责人等由同一个单位缴纳社会保险或者领取报酬的；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（6）不同供应商投标(响应)文件中法定代表人或者负责人签字出自同一人之手；</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（7）其它涉嫌串通的情形。</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3.2详细评审</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3.2.1 磋商小组按本章第2.2款规定的量化因素和分值进行打分，并计算出综合评分得分。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3.2.2 评分分值计算保留小数点后两位，小数点后第三位“四舍五入”。</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3.2.3 供应商的最终得分以全部小组成员打分的算术平均值为准，作为该供应商的最终得分。</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3.2.4 在磋商过程中，凡遇到磋商文件中无界定或界定不清、前后不一致使磋商小组意见有分歧且又难以协商一致的问题，均由磋商小组予以表决，获半数以上同意的即为通过，未获半数同意的即为否决。</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3.3响应文件的澄清和补正</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3.3.1 在磋商过程中，磋商小组可以书面形式要求供应商对所提交的响应文件中不明确的内容进行书面澄清或说明，或者对细微偏离进行补正。磋商小组不接受供应商主动提出的澄清、说明或补正。</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3.3.2 澄清、说明和补正不得超出响应文件的范围或者改变响应文件的实质性内容（算术性错误修正的除外）。供应商的书面澄清、说明和补正属于响应文件的组成部分。</w:t>
      </w:r>
    </w:p>
    <w:p>
      <w:pPr>
        <w:pageBreakBefore w:val="0"/>
        <w:kinsoku/>
        <w:wordWrap w:val="0"/>
        <w:overflowPunct/>
        <w:topLinePunct w:val="0"/>
        <w:bidi w:val="0"/>
        <w:spacing w:line="360" w:lineRule="auto"/>
        <w:ind w:firstLine="480" w:firstLineChars="200"/>
        <w:rPr>
          <w:rFonts w:hint="eastAsia"/>
          <w:color w:val="auto"/>
          <w:sz w:val="24"/>
          <w:szCs w:val="24"/>
          <w:highlight w:val="none"/>
        </w:rPr>
      </w:pPr>
      <w:r>
        <w:rPr>
          <w:rFonts w:hint="eastAsia" w:ascii="宋体" w:hAnsi="宋体" w:cs="宋体"/>
          <w:color w:val="auto"/>
          <w:sz w:val="24"/>
          <w:highlight w:val="none"/>
        </w:rPr>
        <w:t>3.3.3 磋商小组对供应商提交的澄清、说明或补正有疑问的，可以要求供应商进一步澄清、说明或补正，直至满足磋商小组的要求。</w:t>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r>
        <w:rPr>
          <w:rFonts w:hint="eastAsia"/>
          <w:color w:val="auto"/>
          <w:sz w:val="24"/>
          <w:szCs w:val="24"/>
          <w:highlight w:val="none"/>
        </w:rPr>
        <w:t>3.4评审结果</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3.4.1 除第二章“供应商须知”前附表授权直接确定成交人外，磋商小组按照得分由高到低的顺序推荐3名成交候选人。</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3.4.2 磋商小组完成评审后，应当向采购人提交书面评审报告。</w:t>
      </w:r>
    </w:p>
    <w:p>
      <w:pPr>
        <w:pageBreakBefore w:val="0"/>
        <w:kinsoku/>
        <w:wordWrap w:val="0"/>
        <w:overflowPunct/>
        <w:topLinePunct w:val="0"/>
        <w:bidi w:val="0"/>
        <w:ind w:firstLine="440" w:firstLineChars="200"/>
        <w:rPr>
          <w:rFonts w:hint="eastAsia" w:asciiTheme="minorEastAsia" w:hAnsiTheme="minorEastAsia" w:eastAsiaTheme="minorEastAsia" w:cstheme="minorEastAsia"/>
          <w:b w:val="0"/>
          <w:bCs/>
          <w:color w:val="auto"/>
          <w:sz w:val="22"/>
          <w:szCs w:val="22"/>
          <w:highlight w:val="none"/>
          <w:lang w:val="zh-CN" w:eastAsia="zh-CN"/>
        </w:rPr>
      </w:pPr>
      <w:r>
        <w:rPr>
          <w:rFonts w:hint="eastAsia" w:asciiTheme="minorEastAsia" w:hAnsiTheme="minorEastAsia" w:eastAsiaTheme="minorEastAsia" w:cstheme="minorEastAsia"/>
          <w:b w:val="0"/>
          <w:bCs/>
          <w:color w:val="auto"/>
          <w:sz w:val="22"/>
          <w:szCs w:val="22"/>
          <w:highlight w:val="none"/>
          <w:lang w:val="zh-CN" w:eastAsia="zh-CN"/>
        </w:rPr>
        <w:br w:type="page"/>
      </w:r>
    </w:p>
    <w:p>
      <w:pPr>
        <w:keepNext w:val="0"/>
        <w:keepLines w:val="0"/>
        <w:pageBreakBefore w:val="0"/>
        <w:widowControl w:val="0"/>
        <w:kinsoku/>
        <w:wordWrap w:val="0"/>
        <w:overflowPunct/>
        <w:topLinePunct w:val="0"/>
        <w:autoSpaceDE w:val="0"/>
        <w:autoSpaceDN w:val="0"/>
        <w:bidi w:val="0"/>
        <w:adjustRightInd/>
        <w:snapToGrid/>
        <w:spacing w:line="360" w:lineRule="auto"/>
        <w:ind w:firstLine="480" w:firstLineChars="200"/>
        <w:textAlignment w:val="auto"/>
        <w:rPr>
          <w:rFonts w:hint="eastAsia"/>
          <w:color w:val="auto"/>
          <w:sz w:val="24"/>
          <w:szCs w:val="24"/>
          <w:highlight w:val="none"/>
        </w:rPr>
      </w:pPr>
    </w:p>
    <w:p>
      <w:pPr>
        <w:pStyle w:val="51"/>
        <w:rPr>
          <w:rFonts w:hint="eastAsia"/>
          <w:color w:val="auto"/>
          <w:sz w:val="24"/>
          <w:szCs w:val="24"/>
          <w:highlight w:val="none"/>
        </w:rPr>
      </w:pPr>
    </w:p>
    <w:p>
      <w:pPr>
        <w:pStyle w:val="6"/>
        <w:rPr>
          <w:rFonts w:hint="eastAsia"/>
          <w:color w:val="auto"/>
          <w:sz w:val="24"/>
          <w:szCs w:val="24"/>
          <w:highlight w:val="none"/>
        </w:rPr>
      </w:pPr>
    </w:p>
    <w:p>
      <w:pPr>
        <w:rPr>
          <w:rFonts w:hint="eastAsia"/>
        </w:rPr>
      </w:pPr>
    </w:p>
    <w:p>
      <w:pPr>
        <w:pStyle w:val="24"/>
        <w:pageBreakBefore w:val="0"/>
        <w:kinsoku/>
        <w:wordWrap w:val="0"/>
        <w:overflowPunct/>
        <w:topLinePunct w:val="0"/>
        <w:bidi w:val="0"/>
        <w:rPr>
          <w:color w:val="auto"/>
          <w:highlight w:val="none"/>
        </w:rPr>
      </w:pPr>
      <w:bookmarkStart w:id="175" w:name="第四章 合同条款及格式"/>
      <w:bookmarkEnd w:id="175"/>
      <w:bookmarkStart w:id="176" w:name="_Toc10475"/>
      <w:bookmarkStart w:id="177" w:name="_Toc12511"/>
      <w:bookmarkStart w:id="178" w:name="_Toc18341"/>
      <w:bookmarkStart w:id="179" w:name="_Toc24072"/>
    </w:p>
    <w:p>
      <w:pPr>
        <w:pStyle w:val="24"/>
        <w:pageBreakBefore w:val="0"/>
        <w:kinsoku/>
        <w:wordWrap w:val="0"/>
        <w:overflowPunct/>
        <w:topLinePunct w:val="0"/>
        <w:bidi w:val="0"/>
        <w:rPr>
          <w:color w:val="auto"/>
          <w:highlight w:val="none"/>
        </w:rPr>
      </w:pPr>
    </w:p>
    <w:p>
      <w:pPr>
        <w:pStyle w:val="2"/>
        <w:pageBreakBefore w:val="0"/>
        <w:kinsoku/>
        <w:wordWrap w:val="0"/>
        <w:overflowPunct/>
        <w:topLinePunct w:val="0"/>
        <w:bidi w:val="0"/>
        <w:ind w:left="0" w:leftChars="0" w:firstLine="0" w:firstLineChars="0"/>
        <w:outlineLvl w:val="0"/>
        <w:rPr>
          <w:color w:val="auto"/>
          <w:highlight w:val="none"/>
        </w:rPr>
      </w:pPr>
      <w:bookmarkStart w:id="180" w:name="_Toc29708"/>
      <w:bookmarkStart w:id="181" w:name="_Toc4846"/>
      <w:r>
        <w:rPr>
          <w:color w:val="auto"/>
          <w:highlight w:val="none"/>
        </w:rPr>
        <w:t>第四章</w:t>
      </w:r>
      <w:r>
        <w:rPr>
          <w:rFonts w:hint="eastAsia"/>
          <w:color w:val="auto"/>
          <w:highlight w:val="none"/>
          <w:lang w:val="en-US" w:eastAsia="zh-CN"/>
        </w:rPr>
        <w:t xml:space="preserve">  </w:t>
      </w:r>
      <w:r>
        <w:rPr>
          <w:color w:val="auto"/>
          <w:highlight w:val="none"/>
        </w:rPr>
        <w:t>合同条款及格式</w:t>
      </w:r>
      <w:bookmarkEnd w:id="176"/>
      <w:bookmarkEnd w:id="177"/>
      <w:bookmarkEnd w:id="178"/>
      <w:bookmarkEnd w:id="179"/>
      <w:bookmarkEnd w:id="180"/>
      <w:bookmarkEnd w:id="181"/>
    </w:p>
    <w:p>
      <w:pPr>
        <w:pageBreakBefore w:val="0"/>
        <w:kinsoku/>
        <w:wordWrap w:val="0"/>
        <w:overflowPunct/>
        <w:topLinePunct w:val="0"/>
        <w:bidi w:val="0"/>
        <w:ind w:left="2463" w:right="1686"/>
        <w:jc w:val="center"/>
        <w:rPr>
          <w:color w:val="auto"/>
          <w:highlight w:val="none"/>
        </w:rPr>
      </w:pPr>
    </w:p>
    <w:p>
      <w:pPr>
        <w:pageBreakBefore w:val="0"/>
        <w:kinsoku/>
        <w:wordWrap w:val="0"/>
        <w:overflowPunct/>
        <w:topLinePunct w:val="0"/>
        <w:bidi w:val="0"/>
        <w:ind w:left="2463" w:right="1686"/>
        <w:jc w:val="center"/>
        <w:rPr>
          <w:color w:val="auto"/>
          <w:highlight w:val="none"/>
        </w:rPr>
      </w:pPr>
    </w:p>
    <w:p>
      <w:pPr>
        <w:pageBreakBefore w:val="0"/>
        <w:kinsoku/>
        <w:wordWrap w:val="0"/>
        <w:overflowPunct/>
        <w:topLinePunct w:val="0"/>
        <w:bidi w:val="0"/>
        <w:ind w:left="2463" w:right="1686"/>
        <w:jc w:val="center"/>
        <w:rPr>
          <w:rFonts w:ascii="宋体" w:cs="宋体"/>
          <w:color w:val="auto"/>
          <w:kern w:val="0"/>
          <w:sz w:val="28"/>
          <w:highlight w:val="none"/>
        </w:rPr>
      </w:pPr>
      <w:r>
        <w:rPr>
          <w:color w:val="auto"/>
          <w:highlight w:val="none"/>
        </w:rPr>
        <w:br w:type="page"/>
      </w:r>
    </w:p>
    <w:p>
      <w:pPr>
        <w:pageBreakBefore w:val="0"/>
        <w:kinsoku/>
        <w:wordWrap w:val="0"/>
        <w:overflowPunct/>
        <w:topLinePunct w:val="0"/>
        <w:bidi w:val="0"/>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采购合同</w:t>
      </w:r>
    </w:p>
    <w:p>
      <w:pPr>
        <w:pageBreakBefore w:val="0"/>
        <w:kinsoku/>
        <w:wordWrap w:val="0"/>
        <w:overflowPunct/>
        <w:topLinePunct w:val="0"/>
        <w:bidi w:val="0"/>
        <w:jc w:val="center"/>
        <w:rPr>
          <w:rFonts w:hint="eastAsia" w:ascii="宋体" w:hAnsi="宋体" w:eastAsia="宋体" w:cs="宋体"/>
          <w:color w:val="auto"/>
          <w:sz w:val="24"/>
          <w:szCs w:val="24"/>
          <w:highlight w:val="none"/>
        </w:rPr>
      </w:pPr>
    </w:p>
    <w:p>
      <w:pPr>
        <w:pageBreakBefore w:val="0"/>
        <w:kinsoku/>
        <w:wordWrap w:val="0"/>
        <w:overflowPunct/>
        <w:topLinePunct w:val="0"/>
        <w:bidi w:val="0"/>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采购项目编号：</w:t>
      </w:r>
      <w:r>
        <w:rPr>
          <w:rFonts w:hint="eastAsia" w:cs="宋体"/>
          <w:color w:val="auto"/>
          <w:sz w:val="28"/>
          <w:szCs w:val="28"/>
          <w:highlight w:val="none"/>
          <w:lang w:eastAsia="zh-CN"/>
        </w:rPr>
        <w:t>高新竞争性磋商采购[2023]24号</w:t>
      </w:r>
    </w:p>
    <w:p>
      <w:pPr>
        <w:pageBreakBefore w:val="0"/>
        <w:kinsoku/>
        <w:wordWrap w:val="0"/>
        <w:overflowPunct/>
        <w:topLinePunct w:val="0"/>
        <w:bidi w:val="0"/>
        <w:ind w:firstLine="1960" w:firstLineChars="7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采购项目名称：</w:t>
      </w:r>
    </w:p>
    <w:p>
      <w:pPr>
        <w:pageBreakBefore w:val="0"/>
        <w:kinsoku/>
        <w:wordWrap w:val="0"/>
        <w:overflowPunct/>
        <w:topLinePunct w:val="0"/>
        <w:bidi w:val="0"/>
        <w:jc w:val="both"/>
        <w:rPr>
          <w:rFonts w:ascii="宋体" w:hAnsi="宋体" w:eastAsia="宋体" w:cs="宋体"/>
          <w:color w:val="auto"/>
          <w:sz w:val="32"/>
          <w:szCs w:val="32"/>
          <w:highlight w:val="none"/>
        </w:rPr>
      </w:pPr>
    </w:p>
    <w:p>
      <w:pPr>
        <w:pageBreakBefore w:val="0"/>
        <w:kinsoku/>
        <w:wordWrap w:val="0"/>
        <w:overflowPunct/>
        <w:topLinePunct w:val="0"/>
        <w:bidi w:val="0"/>
        <w:jc w:val="both"/>
        <w:rPr>
          <w:rFonts w:ascii="宋体" w:hAnsi="宋体" w:eastAsia="宋体" w:cs="宋体"/>
          <w:color w:val="auto"/>
          <w:sz w:val="32"/>
          <w:szCs w:val="32"/>
          <w:highlight w:val="none"/>
        </w:rPr>
      </w:pPr>
    </w:p>
    <w:p>
      <w:pPr>
        <w:pageBreakBefore w:val="0"/>
        <w:kinsoku/>
        <w:wordWrap w:val="0"/>
        <w:overflowPunct/>
        <w:topLinePunct w:val="0"/>
        <w:bidi w:val="0"/>
        <w:jc w:val="both"/>
        <w:rPr>
          <w:rFonts w:ascii="宋体" w:hAnsi="宋体" w:eastAsia="宋体" w:cs="宋体"/>
          <w:color w:val="auto"/>
          <w:sz w:val="32"/>
          <w:szCs w:val="32"/>
          <w:highlight w:val="none"/>
        </w:rPr>
      </w:pPr>
    </w:p>
    <w:p>
      <w:pPr>
        <w:pageBreakBefore w:val="0"/>
        <w:kinsoku/>
        <w:wordWrap w:val="0"/>
        <w:overflowPunct/>
        <w:topLinePunct w:val="0"/>
        <w:bidi w:val="0"/>
        <w:jc w:val="both"/>
        <w:rPr>
          <w:rFonts w:ascii="宋体" w:hAnsi="宋体" w:eastAsia="宋体" w:cs="宋体"/>
          <w:color w:val="auto"/>
          <w:sz w:val="32"/>
          <w:szCs w:val="32"/>
          <w:highlight w:val="none"/>
        </w:rPr>
      </w:pPr>
    </w:p>
    <w:p>
      <w:pPr>
        <w:pageBreakBefore w:val="0"/>
        <w:kinsoku/>
        <w:wordWrap w:val="0"/>
        <w:overflowPunct/>
        <w:topLinePunct w:val="0"/>
        <w:bidi w:val="0"/>
        <w:jc w:val="both"/>
        <w:rPr>
          <w:rFonts w:ascii="宋体" w:hAnsi="宋体" w:eastAsia="宋体" w:cs="宋体"/>
          <w:color w:val="auto"/>
          <w:sz w:val="32"/>
          <w:szCs w:val="32"/>
          <w:highlight w:val="none"/>
        </w:rPr>
      </w:pPr>
    </w:p>
    <w:p>
      <w:pPr>
        <w:pageBreakBefore w:val="0"/>
        <w:kinsoku/>
        <w:wordWrap w:val="0"/>
        <w:overflowPunct/>
        <w:topLinePunct w:val="0"/>
        <w:bidi w:val="0"/>
        <w:jc w:val="both"/>
        <w:rPr>
          <w:rFonts w:ascii="宋体" w:hAnsi="宋体" w:eastAsia="宋体" w:cs="宋体"/>
          <w:color w:val="auto"/>
          <w:sz w:val="32"/>
          <w:szCs w:val="32"/>
          <w:highlight w:val="none"/>
        </w:rPr>
      </w:pPr>
    </w:p>
    <w:p>
      <w:pPr>
        <w:pageBreakBefore w:val="0"/>
        <w:kinsoku/>
        <w:wordWrap w:val="0"/>
        <w:overflowPunct/>
        <w:topLinePunct w:val="0"/>
        <w:bidi w:val="0"/>
        <w:jc w:val="both"/>
        <w:rPr>
          <w:rFonts w:ascii="宋体" w:hAnsi="宋体" w:eastAsia="宋体" w:cs="宋体"/>
          <w:color w:val="auto"/>
          <w:sz w:val="32"/>
          <w:szCs w:val="32"/>
          <w:highlight w:val="none"/>
        </w:rPr>
      </w:pPr>
    </w:p>
    <w:p>
      <w:pPr>
        <w:pageBreakBefore w:val="0"/>
        <w:kinsoku/>
        <w:wordWrap w:val="0"/>
        <w:overflowPunct/>
        <w:topLinePunct w:val="0"/>
        <w:bidi w:val="0"/>
        <w:jc w:val="both"/>
        <w:rPr>
          <w:rFonts w:ascii="宋体" w:hAnsi="宋体" w:eastAsia="宋体" w:cs="宋体"/>
          <w:color w:val="auto"/>
          <w:sz w:val="28"/>
          <w:szCs w:val="28"/>
          <w:highlight w:val="none"/>
        </w:rPr>
      </w:pPr>
    </w:p>
    <w:p>
      <w:pPr>
        <w:pageBreakBefore w:val="0"/>
        <w:kinsoku/>
        <w:wordWrap w:val="0"/>
        <w:overflowPunct/>
        <w:topLinePunct w:val="0"/>
        <w:bidi w:val="0"/>
        <w:jc w:val="both"/>
        <w:rPr>
          <w:rFonts w:ascii="宋体" w:hAnsi="宋体" w:eastAsia="宋体" w:cs="宋体"/>
          <w:color w:val="auto"/>
          <w:sz w:val="28"/>
          <w:szCs w:val="28"/>
          <w:highlight w:val="none"/>
        </w:rPr>
      </w:pPr>
    </w:p>
    <w:p>
      <w:pPr>
        <w:pageBreakBefore w:val="0"/>
        <w:kinsoku/>
        <w:wordWrap w:val="0"/>
        <w:overflowPunct/>
        <w:topLinePunct w:val="0"/>
        <w:bidi w:val="0"/>
        <w:jc w:val="both"/>
        <w:rPr>
          <w:rFonts w:ascii="宋体" w:hAnsi="宋体" w:eastAsia="宋体" w:cs="宋体"/>
          <w:color w:val="auto"/>
          <w:sz w:val="28"/>
          <w:szCs w:val="28"/>
          <w:highlight w:val="none"/>
        </w:rPr>
      </w:pPr>
    </w:p>
    <w:p>
      <w:pPr>
        <w:pageBreakBefore w:val="0"/>
        <w:kinsoku/>
        <w:wordWrap w:val="0"/>
        <w:overflowPunct/>
        <w:topLinePunct w:val="0"/>
        <w:bidi w:val="0"/>
        <w:jc w:val="both"/>
        <w:rPr>
          <w:rFonts w:ascii="宋体" w:hAnsi="宋体" w:eastAsia="宋体" w:cs="宋体"/>
          <w:color w:val="auto"/>
          <w:sz w:val="28"/>
          <w:szCs w:val="28"/>
          <w:highlight w:val="none"/>
        </w:rPr>
      </w:pPr>
    </w:p>
    <w:p>
      <w:pPr>
        <w:pageBreakBefore w:val="0"/>
        <w:kinsoku/>
        <w:wordWrap w:val="0"/>
        <w:overflowPunct/>
        <w:topLinePunct w:val="0"/>
        <w:bidi w:val="0"/>
        <w:jc w:val="both"/>
        <w:rPr>
          <w:rFonts w:ascii="宋体" w:hAnsi="宋体" w:eastAsia="宋体" w:cs="宋体"/>
          <w:color w:val="auto"/>
          <w:sz w:val="28"/>
          <w:szCs w:val="28"/>
          <w:highlight w:val="none"/>
        </w:rPr>
      </w:pPr>
    </w:p>
    <w:p>
      <w:pPr>
        <w:pageBreakBefore w:val="0"/>
        <w:kinsoku/>
        <w:wordWrap w:val="0"/>
        <w:overflowPunct/>
        <w:topLinePunct w:val="0"/>
        <w:bidi w:val="0"/>
        <w:jc w:val="both"/>
        <w:rPr>
          <w:rFonts w:ascii="宋体" w:hAnsi="宋体" w:eastAsia="宋体" w:cs="宋体"/>
          <w:color w:val="auto"/>
          <w:sz w:val="28"/>
          <w:szCs w:val="28"/>
          <w:highlight w:val="none"/>
        </w:rPr>
      </w:pPr>
    </w:p>
    <w:p>
      <w:pPr>
        <w:pStyle w:val="24"/>
        <w:pageBreakBefore w:val="0"/>
        <w:kinsoku/>
        <w:wordWrap w:val="0"/>
        <w:overflowPunct/>
        <w:topLinePunct w:val="0"/>
        <w:bidi w:val="0"/>
        <w:rPr>
          <w:rFonts w:ascii="宋体" w:hAnsi="宋体" w:eastAsia="宋体" w:cs="宋体"/>
          <w:color w:val="auto"/>
          <w:sz w:val="28"/>
          <w:szCs w:val="28"/>
          <w:highlight w:val="none"/>
        </w:rPr>
      </w:pPr>
    </w:p>
    <w:p>
      <w:pPr>
        <w:pStyle w:val="25"/>
        <w:pageBreakBefore w:val="0"/>
        <w:tabs>
          <w:tab w:val="left" w:pos="945"/>
          <w:tab w:val="left" w:pos="1155"/>
        </w:tabs>
        <w:kinsoku/>
        <w:wordWrap w:val="0"/>
        <w:overflowPunct/>
        <w:topLinePunct w:val="0"/>
        <w:bidi w:val="0"/>
        <w:rPr>
          <w:rFonts w:ascii="宋体" w:hAnsi="宋体" w:eastAsia="宋体" w:cs="宋体"/>
          <w:color w:val="auto"/>
          <w:sz w:val="28"/>
          <w:szCs w:val="28"/>
          <w:highlight w:val="none"/>
        </w:rPr>
      </w:pPr>
    </w:p>
    <w:p>
      <w:pPr>
        <w:pageBreakBefore w:val="0"/>
        <w:kinsoku/>
        <w:wordWrap w:val="0"/>
        <w:overflowPunct/>
        <w:topLinePunct w:val="0"/>
        <w:bidi w:val="0"/>
        <w:rPr>
          <w:rFonts w:ascii="宋体" w:hAnsi="宋体" w:eastAsia="宋体" w:cs="宋体"/>
          <w:color w:val="auto"/>
          <w:sz w:val="28"/>
          <w:szCs w:val="28"/>
          <w:highlight w:val="none"/>
        </w:rPr>
      </w:pPr>
    </w:p>
    <w:p>
      <w:pPr>
        <w:pStyle w:val="24"/>
        <w:pageBreakBefore w:val="0"/>
        <w:kinsoku/>
        <w:wordWrap w:val="0"/>
        <w:overflowPunct/>
        <w:topLinePunct w:val="0"/>
        <w:bidi w:val="0"/>
        <w:rPr>
          <w:color w:val="auto"/>
          <w:highlight w:val="none"/>
        </w:rPr>
      </w:pPr>
    </w:p>
    <w:p>
      <w:pPr>
        <w:pageBreakBefore w:val="0"/>
        <w:kinsoku/>
        <w:wordWrap w:val="0"/>
        <w:overflowPunct/>
        <w:topLinePunct w:val="0"/>
        <w:bidi w:val="0"/>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p>
      <w:pPr>
        <w:pageBreakBefore w:val="0"/>
        <w:kinsoku/>
        <w:wordWrap w:val="0"/>
        <w:overflowPunct/>
        <w:topLinePunct w:val="0"/>
        <w:bidi w:val="0"/>
        <w:jc w:val="both"/>
        <w:rPr>
          <w:rFonts w:hint="eastAsia" w:ascii="宋体" w:hAnsi="宋体" w:eastAsia="宋体" w:cs="宋体"/>
          <w:color w:val="auto"/>
          <w:sz w:val="28"/>
          <w:szCs w:val="28"/>
          <w:highlight w:val="none"/>
        </w:rPr>
      </w:pPr>
    </w:p>
    <w:p>
      <w:pPr>
        <w:pageBreakBefore w:val="0"/>
        <w:kinsoku/>
        <w:wordWrap w:val="0"/>
        <w:overflowPunct/>
        <w:topLinePunct w:val="0"/>
        <w:bidi w:val="0"/>
        <w:ind w:firstLine="560" w:firstLineChars="200"/>
        <w:jc w:val="both"/>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    </w:t>
      </w:r>
    </w:p>
    <w:p>
      <w:pPr>
        <w:pageBreakBefore w:val="0"/>
        <w:kinsoku/>
        <w:wordWrap w:val="0"/>
        <w:overflowPunct/>
        <w:topLinePunct w:val="0"/>
        <w:bidi w:val="0"/>
        <w:jc w:val="both"/>
        <w:rPr>
          <w:rFonts w:hint="eastAsia" w:ascii="宋体" w:hAnsi="宋体" w:eastAsia="宋体" w:cs="宋体"/>
          <w:color w:val="auto"/>
          <w:sz w:val="28"/>
          <w:szCs w:val="28"/>
          <w:highlight w:val="none"/>
        </w:rPr>
      </w:pPr>
    </w:p>
    <w:p>
      <w:pPr>
        <w:pageBreakBefore w:val="0"/>
        <w:kinsoku/>
        <w:wordWrap w:val="0"/>
        <w:overflowPunct/>
        <w:topLinePunct w:val="0"/>
        <w:bidi w:val="0"/>
        <w:ind w:firstLine="560" w:firstLineChars="200"/>
        <w:jc w:val="both"/>
        <w:rPr>
          <w:rFonts w:ascii="宋体" w:hAnsi="宋体" w:eastAsia="宋体" w:cs="宋体"/>
          <w:color w:val="auto"/>
          <w:sz w:val="28"/>
          <w:szCs w:val="28"/>
          <w:highlight w:val="none"/>
        </w:rPr>
        <w:sectPr>
          <w:footerReference r:id="rId6" w:type="default"/>
          <w:pgSz w:w="11906" w:h="16838"/>
          <w:pgMar w:top="1418" w:right="1361" w:bottom="1418" w:left="1361" w:header="0" w:footer="0" w:gutter="0"/>
          <w:pgNumType w:fmt="decimal" w:start="1"/>
          <w:cols w:space="720" w:num="1"/>
        </w:sectPr>
      </w:pPr>
      <w:r>
        <w:rPr>
          <w:rFonts w:hint="eastAsia" w:ascii="宋体" w:hAnsi="宋体" w:eastAsia="宋体" w:cs="宋体"/>
          <w:color w:val="auto"/>
          <w:sz w:val="28"/>
          <w:szCs w:val="28"/>
          <w:highlight w:val="none"/>
        </w:rPr>
        <w:t xml:space="preserve">乙方：  </w:t>
      </w:r>
    </w:p>
    <w:p>
      <w:pPr>
        <w:pStyle w:val="19"/>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bookmarkStart w:id="182" w:name="bookmark0"/>
      <w:bookmarkStart w:id="183" w:name="bookmark2"/>
      <w:bookmarkStart w:id="184" w:name="bookmark1"/>
      <w:r>
        <w:rPr>
          <w:rFonts w:hint="eastAsia" w:ascii="宋体" w:hAnsi="宋体" w:eastAsia="宋体" w:cs="宋体"/>
          <w:color w:val="auto"/>
          <w:sz w:val="21"/>
          <w:szCs w:val="21"/>
          <w:highlight w:val="none"/>
        </w:rPr>
        <w:t>协议书</w:t>
      </w:r>
      <w:bookmarkEnd w:id="182"/>
      <w:bookmarkEnd w:id="183"/>
      <w:bookmarkEnd w:id="184"/>
    </w:p>
    <w:p>
      <w:pPr>
        <w:keepNext w:val="0"/>
        <w:keepLines w:val="0"/>
        <w:pageBreakBefore w:val="0"/>
        <w:widowControl w:val="0"/>
        <w:kinsoku/>
        <w:wordWrap w:val="0"/>
        <w:overflowPunct/>
        <w:topLinePunct w:val="0"/>
        <w:autoSpaceDE/>
        <w:autoSpaceDN/>
        <w:bidi w:val="0"/>
        <w:adjustRightInd/>
        <w:snapToGrid/>
        <w:spacing w:line="360" w:lineRule="auto"/>
        <w:ind w:firstLine="315" w:firstLineChars="1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甲方关于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项目委托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公司进行了政府采购。按照评委会评审推荐，甲方确定乙方为中标单位。现甲乙双方协商同意签订本合同。</w:t>
      </w:r>
    </w:p>
    <w:p>
      <w:pPr>
        <w:keepNext w:val="0"/>
        <w:keepLines w:val="0"/>
        <w:pageBreakBefore w:val="0"/>
        <w:widowControl w:val="0"/>
        <w:kinsoku/>
        <w:wordWrap w:val="0"/>
        <w:overflowPunct/>
        <w:topLinePunct w:val="0"/>
        <w:autoSpaceDE/>
        <w:autoSpaceDN/>
        <w:bidi w:val="0"/>
        <w:adjustRightInd/>
        <w:snapToGrid/>
        <w:spacing w:after="0" w:line="36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第一条合同文件</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下列与本次采购活动有关的文件及附件是本合同不可分割的组成部分，与本合同具有同等法律效力，这些文件包括但不限于：</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cs="宋体"/>
          <w:color w:val="auto"/>
          <w:sz w:val="21"/>
          <w:szCs w:val="21"/>
          <w:highlight w:val="none"/>
          <w:u w:val="single"/>
          <w:lang w:eastAsia="zh-CN"/>
        </w:rPr>
        <w:t>高新竞争性磋商采购[2023]24号</w:t>
      </w:r>
      <w:r>
        <w:rPr>
          <w:rFonts w:hint="eastAsia" w:ascii="宋体" w:hAnsi="宋体" w:eastAsia="宋体" w:cs="宋体"/>
          <w:color w:val="auto"/>
          <w:sz w:val="21"/>
          <w:szCs w:val="21"/>
          <w:highlight w:val="none"/>
        </w:rPr>
        <w:t>招标采购文件(含招标文件补充通知)</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2.投标文件(含澄清文件)</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3.乙方在投标时的书面承诺</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cs="宋体"/>
          <w:color w:val="auto"/>
          <w:sz w:val="21"/>
          <w:szCs w:val="21"/>
          <w:highlight w:val="none"/>
          <w:lang w:eastAsia="zh-CN"/>
        </w:rPr>
        <w:t>高新竞争性磋商采购[2023]24号</w:t>
      </w:r>
      <w:r>
        <w:rPr>
          <w:rFonts w:hint="eastAsia" w:cs="宋体"/>
          <w:color w:val="auto"/>
          <w:sz w:val="21"/>
          <w:szCs w:val="21"/>
          <w:highlight w:val="none"/>
          <w:lang w:val="en-US" w:eastAsia="zh-CN"/>
        </w:rPr>
        <w:t>成交</w:t>
      </w:r>
      <w:r>
        <w:rPr>
          <w:rFonts w:hint="eastAsia" w:ascii="宋体" w:hAnsi="宋体" w:eastAsia="宋体" w:cs="宋体"/>
          <w:color w:val="auto"/>
          <w:sz w:val="21"/>
          <w:szCs w:val="21"/>
          <w:highlight w:val="none"/>
        </w:rPr>
        <w:t>通知书</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5.合同补充条款或说明</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6.保密协议或条款</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7.相关附件、图纸</w:t>
      </w:r>
    </w:p>
    <w:p>
      <w:pPr>
        <w:keepNext w:val="0"/>
        <w:keepLines w:val="0"/>
        <w:pageBreakBefore w:val="0"/>
        <w:widowControl w:val="0"/>
        <w:kinsoku/>
        <w:wordWrap w:val="0"/>
        <w:overflowPunct/>
        <w:topLinePunct w:val="0"/>
        <w:autoSpaceDE/>
        <w:autoSpaceDN/>
        <w:bidi w:val="0"/>
        <w:adjustRightInd/>
        <w:snapToGrid/>
        <w:spacing w:after="0" w:line="36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第二条  合同标的</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乙方根据甲方需求提供设备，设备名称、规格及数量，备件、易损件和专用工具及金额明细等见后附《供货一览表》。</w:t>
      </w:r>
    </w:p>
    <w:p>
      <w:pPr>
        <w:keepNext w:val="0"/>
        <w:keepLines w:val="0"/>
        <w:pageBreakBefore w:val="0"/>
        <w:widowControl w:val="0"/>
        <w:kinsoku/>
        <w:wordWrap w:val="0"/>
        <w:overflowPunct/>
        <w:topLinePunct w:val="0"/>
        <w:autoSpaceDE/>
        <w:autoSpaceDN/>
        <w:bidi w:val="0"/>
        <w:adjustRightInd/>
        <w:snapToGrid/>
        <w:spacing w:after="0" w:line="36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第三条  合同总金额</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本合同项下设备总金额：</w:t>
      </w:r>
      <w:r>
        <w:rPr>
          <w:rFonts w:hint="eastAsia" w:ascii="宋体" w:hAnsi="宋体" w:eastAsia="宋体" w:cs="宋体"/>
          <w:bCs/>
          <w:color w:val="auto"/>
          <w:sz w:val="21"/>
          <w:szCs w:val="21"/>
          <w:highlight w:val="none"/>
          <w:u w:val="single"/>
        </w:rPr>
        <w:t>¥</w:t>
      </w:r>
      <w:r>
        <w:rPr>
          <w:rFonts w:hint="eastAsia" w:ascii="宋体" w:hAnsi="宋体" w:eastAsia="宋体" w:cs="宋体"/>
          <w:bCs/>
          <w:color w:val="auto"/>
          <w:sz w:val="21"/>
          <w:szCs w:val="21"/>
          <w:highlight w:val="none"/>
          <w:u w:val="single"/>
          <w:lang w:eastAsia="zh-CN"/>
        </w:rPr>
        <w:t>：</w:t>
      </w:r>
      <w:r>
        <w:rPr>
          <w:rFonts w:hint="eastAsia" w:ascii="宋体" w:hAnsi="宋体" w:eastAsia="宋体" w:cs="宋体"/>
          <w:b/>
          <w:bCs/>
          <w:color w:val="auto"/>
          <w:sz w:val="21"/>
          <w:szCs w:val="21"/>
          <w:highlight w:val="none"/>
          <w:u w:val="single"/>
        </w:rPr>
        <w:t xml:space="preserve">元  </w:t>
      </w:r>
      <w:r>
        <w:rPr>
          <w:rFonts w:hint="eastAsia" w:ascii="宋体" w:hAnsi="宋体" w:eastAsia="宋体" w:cs="宋体"/>
          <w:color w:val="auto"/>
          <w:sz w:val="21"/>
          <w:szCs w:val="21"/>
          <w:highlight w:val="none"/>
          <w:u w:val="single"/>
        </w:rPr>
        <w:t>大写</w:t>
      </w:r>
      <w:r>
        <w:rPr>
          <w:rFonts w:hint="eastAsia" w:ascii="宋体" w:hAnsi="宋体" w:eastAsia="宋体" w:cs="宋体"/>
          <w:color w:val="auto"/>
          <w:sz w:val="21"/>
          <w:szCs w:val="21"/>
          <w:highlight w:val="none"/>
          <w:u w:val="single"/>
          <w:lang w:eastAsia="zh-CN"/>
        </w:rPr>
        <w:t>：</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分项价款在《供货一览表》中有明确规定。</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总价款包括货物、软件、标准附件、备品备件、专用工具、图纸资料、技术服务，包装、仓储、运输、装卸、保险、税金，货到就位以及安装、调试、培训、保修等验收合格之前和质保期内的售后服务一切税金和费用。</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本合同执行期间合同总价款不变。</w:t>
      </w:r>
    </w:p>
    <w:p>
      <w:pPr>
        <w:keepNext w:val="0"/>
        <w:keepLines w:val="0"/>
        <w:pageBreakBefore w:val="0"/>
        <w:widowControl w:val="0"/>
        <w:kinsoku/>
        <w:wordWrap w:val="0"/>
        <w:overflowPunct/>
        <w:topLinePunct w:val="0"/>
        <w:autoSpaceDE/>
        <w:autoSpaceDN/>
        <w:bidi w:val="0"/>
        <w:adjustRightInd/>
        <w:snapToGrid/>
        <w:spacing w:after="0" w:line="36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第四条  权利义务和质量保证</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甲方在使用该设备或其任何一部分时不受第三方提出侵犯其专利权、版权、商标权或其他权利的起诉。一旦出现侵权、索赔或诉讼，乙方应承担全部责任。如因此给甲方造成损失，乙方还应承担相应的赔偿责任。</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2.乙方保证设备是全新的、未使用过的，完全符合国家规范及甲乙双方确认的投标文件、本合同关于货物数量、质量的要求，并按照国家“三包”规定履行相应的义务。</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3.乙方提供的设备应符合投标文件中所记载的详细配置、技术参数、参数及性能，并应附有此类设备完整、详细的技术资料和说明文件。</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提供的设备必须按照招标采购文件的要求和中标人投标文件的承诺，以约定标准进行制造、安装；经政府采购管理部门批准采购的进口产品应执行原产地国家有关部门最新颁布的相应正式标准并提供国家商检、海关报关等手续。</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5.乙方应保证将设备按照国家或专业标准包装、确保安全无损运抵合同规定的交货地点，并进行安装调试、试运行。</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6、乙方保证所供设备不存在危及人身及财产安全的产品缺陷，否则应承担全部法律责任。</w:t>
      </w:r>
    </w:p>
    <w:p>
      <w:pPr>
        <w:keepNext w:val="0"/>
        <w:keepLines w:val="0"/>
        <w:pageBreakBefore w:val="0"/>
        <w:widowControl w:val="0"/>
        <w:kinsoku/>
        <w:wordWrap w:val="0"/>
        <w:overflowPunct/>
        <w:topLinePunct w:val="0"/>
        <w:autoSpaceDE/>
        <w:autoSpaceDN/>
        <w:bidi w:val="0"/>
        <w:adjustRightInd/>
        <w:snapToGrid/>
        <w:spacing w:after="0" w:line="36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第五条  付款方式</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1.本合同项下所有款项均以人民币支付。</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2.乙方向甲方提交下列文件材料，经甲方审核无误后办理相关支付手续：</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outlineLvl w:val="0"/>
        <w:rPr>
          <w:rFonts w:hint="eastAsia" w:ascii="宋体" w:hAnsi="宋体" w:eastAsia="宋体" w:cs="宋体"/>
          <w:color w:val="auto"/>
          <w:sz w:val="21"/>
          <w:szCs w:val="21"/>
          <w:highlight w:val="none"/>
        </w:rPr>
      </w:pPr>
      <w:bookmarkStart w:id="185" w:name="_Toc5114"/>
      <w:r>
        <w:rPr>
          <w:rFonts w:hint="eastAsia" w:ascii="宋体" w:hAnsi="宋体" w:eastAsia="宋体" w:cs="宋体"/>
          <w:color w:val="auto"/>
          <w:sz w:val="21"/>
          <w:szCs w:val="21"/>
          <w:highlight w:val="none"/>
        </w:rPr>
        <w:t>（1）经甲方确认的发票；</w:t>
      </w:r>
      <w:bookmarkEnd w:id="185"/>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（2）经甲乙双方确认签署的《验收报告》；</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（3）甲方需要的其他材料。</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款项的支付进度：设备验收合格后，甲方在10个工作日内将验收合格的相关资料报送财政部门、申请支付合同价款的95％；剩余合同价款的5％作为质保金，满一年后，如无质量问题，甲方将申请支付合同价款的5％的尾款。</w:t>
      </w:r>
    </w:p>
    <w:p>
      <w:pPr>
        <w:keepNext w:val="0"/>
        <w:keepLines w:val="0"/>
        <w:pageBreakBefore w:val="0"/>
        <w:widowControl w:val="0"/>
        <w:kinsoku/>
        <w:wordWrap w:val="0"/>
        <w:overflowPunct/>
        <w:topLinePunct w:val="0"/>
        <w:autoSpaceDE/>
        <w:autoSpaceDN/>
        <w:bidi w:val="0"/>
        <w:adjustRightInd/>
        <w:snapToGrid/>
        <w:spacing w:after="0" w:line="36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第六条   交货和验收</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1.交货时间：</w:t>
      </w:r>
      <w:r>
        <w:rPr>
          <w:rFonts w:hint="eastAsia" w:ascii="宋体" w:hAnsi="宋体" w:eastAsia="宋体" w:cs="宋体"/>
          <w:color w:val="auto"/>
          <w:sz w:val="21"/>
          <w:szCs w:val="21"/>
          <w:highlight w:val="none"/>
          <w:u w:val="single"/>
        </w:rPr>
        <w:t xml:space="preserve"> 合同生效后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日历天内交货并进行安装</w:t>
      </w:r>
      <w:r>
        <w:rPr>
          <w:rFonts w:hint="eastAsia" w:ascii="宋体" w:hAnsi="宋体" w:eastAsia="宋体" w:cs="宋体"/>
          <w:color w:val="auto"/>
          <w:sz w:val="21"/>
          <w:szCs w:val="21"/>
          <w:highlight w:val="none"/>
        </w:rPr>
        <w:t>。</w:t>
      </w:r>
    </w:p>
    <w:p>
      <w:pPr>
        <w:keepNext w:val="0"/>
        <w:keepLines w:val="0"/>
        <w:pageBreakBefore w:val="0"/>
        <w:widowControl w:val="0"/>
        <w:kinsoku/>
        <w:wordWrap w:val="0"/>
        <w:overflowPunct/>
        <w:topLinePunct w:val="0"/>
        <w:autoSpaceDE/>
        <w:autoSpaceDN/>
        <w:bidi w:val="0"/>
        <w:adjustRightInd/>
        <w:snapToGrid/>
        <w:spacing w:after="0" w:line="360" w:lineRule="auto"/>
        <w:ind w:firstLine="630" w:firstLineChars="3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交货地点：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pPr>
        <w:keepNext w:val="0"/>
        <w:keepLines w:val="0"/>
        <w:pageBreakBefore w:val="0"/>
        <w:widowControl w:val="0"/>
        <w:kinsoku/>
        <w:wordWrap w:val="0"/>
        <w:overflowPunct/>
        <w:topLinePunct w:val="0"/>
        <w:autoSpaceDE/>
        <w:autoSpaceDN/>
        <w:bidi w:val="0"/>
        <w:adjustRightInd/>
        <w:snapToGrid/>
        <w:spacing w:after="0" w:line="360" w:lineRule="auto"/>
        <w:ind w:firstLine="630" w:firstLineChars="3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安装调试时间： </w:t>
      </w:r>
      <w:r>
        <w:rPr>
          <w:rFonts w:hint="eastAsia" w:ascii="宋体" w:hAnsi="宋体" w:eastAsia="宋体" w:cs="宋体"/>
          <w:color w:val="auto"/>
          <w:sz w:val="21"/>
          <w:szCs w:val="21"/>
          <w:highlight w:val="none"/>
          <w:u w:val="single"/>
        </w:rPr>
        <w:t>安装完成后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个工作内调试完毕</w:t>
      </w:r>
      <w:r>
        <w:rPr>
          <w:rFonts w:hint="eastAsia" w:ascii="宋体" w:hAnsi="宋体" w:eastAsia="宋体" w:cs="宋体"/>
          <w:color w:val="auto"/>
          <w:sz w:val="21"/>
          <w:szCs w:val="21"/>
          <w:highlight w:val="none"/>
        </w:rPr>
        <w:t>。</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乙方应对提供的设备作出全面自查和整理，并列出清单，作为甲方验收和使用的技术条件依据，清单应随提供的验收资料交给甲方。</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3.乙方提供的设备应包括本合同第一条 “合同文件”中规定的全部货物及其附（辅）件、资料。</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4.不需要安装调试的设备，甲方应当在乙方到货后的</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个工作日内对设备进行验收。设备验收时，甲乙双方必须同时在场，双方共同确认设备与本合同规定的产地、生产厂家名称、品牌、规格型号、数量、质量、技术参数和性能等是否一致。乙方所交付的设备不符合合同规定的，甲方有权拒收。乙方应及时按本合同规定和甲方要求的时限免费对拒收设备采取更换或其他必要的补救措施，验收合格方视为乙方按本合同规定完成交货。验收合格的，由双方共同签署《验收报告》。如乙方未能在甲方要求的时限内更换合格设备，则甲方有权解除本合同，并可要求乙方返还已收取的甲方所有款项。如因此给甲方造成损失的，乙方还应承担相应的赔偿责任。</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5.需要乙方对设备（包括软件）或系统进行安装调试的，甲乙双方应在货物安装调试完毕后的</w:t>
      </w:r>
      <w:r>
        <w:rPr>
          <w:rFonts w:hint="eastAsia" w:ascii="宋体" w:hAnsi="宋体" w:eastAsia="宋体" w:cs="宋体"/>
          <w:color w:val="auto"/>
          <w:sz w:val="21"/>
          <w:szCs w:val="21"/>
          <w:highlight w:val="none"/>
          <w:u w:val="none"/>
        </w:rPr>
        <w:t>三</w:t>
      </w:r>
      <w:r>
        <w:rPr>
          <w:rFonts w:hint="eastAsia" w:ascii="宋体" w:hAnsi="宋体" w:eastAsia="宋体" w:cs="宋体"/>
          <w:color w:val="auto"/>
          <w:sz w:val="21"/>
          <w:szCs w:val="21"/>
          <w:highlight w:val="none"/>
        </w:rPr>
        <w:t>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a.重新调试直至合格为止；</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b.要求乙方对货物进行免费更换，然后重新调试直至合格为止。</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C.解除本合同，并可要求乙方返还已收取的甲方所有款项。如因此给甲方造成损失的，乙方还应承担相应的赔偿责任</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因乙方原因所产生的所有费用均由乙方负担。</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6.验收合格的，由双方共同签署《验收报告》。</w:t>
      </w:r>
    </w:p>
    <w:p>
      <w:pPr>
        <w:keepNext w:val="0"/>
        <w:keepLines w:val="0"/>
        <w:pageBreakBefore w:val="0"/>
        <w:widowControl w:val="0"/>
        <w:kinsoku/>
        <w:wordWrap w:val="0"/>
        <w:overflowPunct/>
        <w:topLinePunct w:val="0"/>
        <w:autoSpaceDE/>
        <w:autoSpaceDN/>
        <w:bidi w:val="0"/>
        <w:adjustRightInd/>
        <w:snapToGrid/>
        <w:spacing w:after="0" w:line="360" w:lineRule="auto"/>
        <w:ind w:firstLine="482"/>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甲方可以视项目规模或复杂情况聘请本项目所涉及产品的售后服务机构参与验收，聘请专业人员参与验收，大型或复杂项目，以及特种设备应当邀请国家认可的第三方质量检测机构参与验收，也可以视项目情况邀请参加本项目投标的落标人参与验收。</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验收包括：包装是否完好，产地、生产厂家名称、品牌、型号、规格、数量、外观质量、配置、内在质量以及调试运行是否达到本合同第一条“合同文件”中规定的内容。乙方应将装箱清单、产品合格证、用户手册、原厂保修卡、随机资料及备品备件、易损件、专用工具等交付给甲方。乙方不能完整交付设备、附（辅）件和资料的，视为未按合同约定交货，乙方负责补齐，因此导致逾期交付的，由乙方承担相关的违约责任。</w:t>
      </w:r>
    </w:p>
    <w:p>
      <w:pPr>
        <w:keepNext w:val="0"/>
        <w:keepLines w:val="0"/>
        <w:pageBreakBefore w:val="0"/>
        <w:widowControl w:val="0"/>
        <w:kinsoku/>
        <w:wordWrap w:val="0"/>
        <w:overflowPunct/>
        <w:topLinePunct w:val="0"/>
        <w:autoSpaceDE/>
        <w:autoSpaceDN/>
        <w:bidi w:val="0"/>
        <w:adjustRightInd/>
        <w:snapToGrid/>
        <w:spacing w:after="0" w:line="360" w:lineRule="auto"/>
        <w:ind w:firstLine="525" w:firstLineChars="25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9.货物达不到本合同第一条“合同文件”规定的数量、质量要求和运行效果，甲方有权拒收，并可以解除合同，由此引起甲方损失及赔偿责任由乙方承担。</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10.如果合同双方对《验收报告》有分歧，双方须于出现分歧后</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天内给对方书面声明，以陈述己方的理由及要求，并附有关证据。分歧应通过协商解决。</w:t>
      </w:r>
    </w:p>
    <w:p>
      <w:pPr>
        <w:keepNext w:val="0"/>
        <w:keepLines w:val="0"/>
        <w:pageBreakBefore w:val="0"/>
        <w:widowControl w:val="0"/>
        <w:kinsoku/>
        <w:wordWrap w:val="0"/>
        <w:overflowPunct/>
        <w:topLinePunct w:val="0"/>
        <w:autoSpaceDE/>
        <w:autoSpaceDN/>
        <w:bidi w:val="0"/>
        <w:adjustRightInd/>
        <w:snapToGrid/>
        <w:spacing w:after="0" w:line="360" w:lineRule="auto"/>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第七条  项目管理服务</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乙方应组建技术熟练、称职的团队全面履行合同,并指定不少于一人全权全程负责本项目的商务服务，以及货物安装、调试、咨询、培训和售后等技术服务工作。</w:t>
      </w:r>
    </w:p>
    <w:p>
      <w:pPr>
        <w:keepNext w:val="0"/>
        <w:keepLines w:val="0"/>
        <w:pageBreakBefore w:val="0"/>
        <w:widowControl w:val="0"/>
        <w:kinsoku/>
        <w:wordWrap w:val="0"/>
        <w:overflowPunct/>
        <w:topLinePunct w:val="0"/>
        <w:autoSpaceDE/>
        <w:autoSpaceDN/>
        <w:bidi w:val="0"/>
        <w:adjustRightInd/>
        <w:snapToGrid/>
        <w:spacing w:after="0" w:line="360" w:lineRule="auto"/>
        <w:ind w:firstLine="481"/>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rPr>
        <w:t>； 联系电话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pPr>
        <w:keepNext w:val="0"/>
        <w:keepLines w:val="0"/>
        <w:pageBreakBefore w:val="0"/>
        <w:widowControl w:val="0"/>
        <w:kinsoku/>
        <w:wordWrap w:val="0"/>
        <w:overflowPunct/>
        <w:topLinePunct w:val="0"/>
        <w:autoSpaceDE/>
        <w:autoSpaceDN/>
        <w:bidi w:val="0"/>
        <w:adjustRightInd/>
        <w:snapToGrid/>
        <w:spacing w:after="0" w:line="360" w:lineRule="auto"/>
        <w:jc w:val="both"/>
        <w:outlineLvl w:val="0"/>
        <w:rPr>
          <w:rFonts w:hint="eastAsia" w:ascii="宋体" w:hAnsi="宋体" w:eastAsia="宋体" w:cs="宋体"/>
          <w:b/>
          <w:color w:val="auto"/>
          <w:sz w:val="21"/>
          <w:szCs w:val="21"/>
          <w:highlight w:val="none"/>
        </w:rPr>
      </w:pPr>
      <w:bookmarkStart w:id="186" w:name="_Toc6539"/>
      <w:r>
        <w:rPr>
          <w:rFonts w:hint="eastAsia" w:ascii="宋体" w:hAnsi="宋体" w:eastAsia="宋体" w:cs="宋体"/>
          <w:b/>
          <w:color w:val="auto"/>
          <w:sz w:val="21"/>
          <w:szCs w:val="21"/>
          <w:highlight w:val="none"/>
        </w:rPr>
        <w:t>第八条  售后服务</w:t>
      </w:r>
      <w:bookmarkEnd w:id="186"/>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1.质量保证期为自货物通过最终验收之日起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个月。若国家有明确规定的质量保证期高于此质量保证期的，执行国家规定。</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2.在货物质保期内，乙方应对由于设计、工艺、质量（含环保节能要求）、材料和的缺陷而发生的任何不足或故障负责，并解决存在的问题。</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3.对不符合本合同第四条规定要求的货物应立即进行调换，调换本身并不影响甲方就其损失向乙方索赔的权利。</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4.货物安装调试完成后，乙方应继续向甲方提供良好的技术支持。应当由专门队伍从事此项工作，并提供全天候的热线技术支持服务，应当对甲方所反映的任何问题在</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分钟 </w:t>
      </w:r>
      <w:r>
        <w:rPr>
          <w:rFonts w:hint="eastAsia" w:ascii="宋体" w:hAnsi="宋体" w:eastAsia="宋体" w:cs="宋体"/>
          <w:color w:val="auto"/>
          <w:sz w:val="21"/>
          <w:szCs w:val="21"/>
          <w:highlight w:val="none"/>
        </w:rPr>
        <w:t>之内做出及时响应，在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（小时）之内赶到现场实地解决问题。若问题、故障在检修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（小时）后仍无法解决，乙方应在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（小时）内免费提供不低于故障货物规格型号档次的备用货物供甲方使用，直至故障货物修复。</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5.乙方应当建立健全售后服务体系，确保货物正常运行。乙方应当遵守甲方的有关管理制度、操作规程。对于乙方违规操作造成甲方损失的，由乙方按照本合同第十二条的约定承担赔偿责任。</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6.乙方应负责货物及主要部件、配件维修更换。质保期内，乙方对货物（人为故意损坏除外）提供全免费保修或免费更换；质保期后，收取维修成本费（备品备件乙方应以投标文件承诺的优惠价格提供）。</w:t>
      </w:r>
    </w:p>
    <w:p>
      <w:pPr>
        <w:keepNext w:val="0"/>
        <w:keepLines w:val="0"/>
        <w:pageBreakBefore w:val="0"/>
        <w:widowControl w:val="0"/>
        <w:kinsoku/>
        <w:wordWrap w:val="0"/>
        <w:overflowPunct/>
        <w:topLinePunct w:val="0"/>
        <w:autoSpaceDE/>
        <w:autoSpaceDN/>
        <w:bidi w:val="0"/>
        <w:adjustRightInd/>
        <w:snapToGrid/>
        <w:spacing w:after="0" w:line="360" w:lineRule="auto"/>
        <w:jc w:val="both"/>
        <w:outlineLvl w:val="0"/>
        <w:rPr>
          <w:rFonts w:hint="eastAsia" w:ascii="宋体" w:hAnsi="宋体" w:eastAsia="宋体" w:cs="宋体"/>
          <w:b/>
          <w:color w:val="auto"/>
          <w:sz w:val="21"/>
          <w:szCs w:val="21"/>
          <w:highlight w:val="none"/>
        </w:rPr>
      </w:pPr>
      <w:bookmarkStart w:id="187" w:name="_Toc26092"/>
      <w:r>
        <w:rPr>
          <w:rFonts w:hint="eastAsia" w:ascii="宋体" w:hAnsi="宋体" w:eastAsia="宋体" w:cs="宋体"/>
          <w:b/>
          <w:color w:val="auto"/>
          <w:sz w:val="21"/>
          <w:szCs w:val="21"/>
          <w:highlight w:val="none"/>
        </w:rPr>
        <w:t>第九条  分包</w:t>
      </w:r>
      <w:bookmarkEnd w:id="187"/>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strike/>
          <w:color w:val="auto"/>
          <w:sz w:val="21"/>
          <w:szCs w:val="21"/>
          <w:highlight w:val="none"/>
        </w:rPr>
      </w:pPr>
      <w:r>
        <w:rPr>
          <w:rFonts w:hint="eastAsia" w:ascii="宋体" w:hAnsi="宋体" w:eastAsia="宋体" w:cs="宋体"/>
          <w:color w:val="auto"/>
          <w:sz w:val="21"/>
          <w:szCs w:val="21"/>
          <w:highlight w:val="none"/>
        </w:rPr>
        <w:t>除招标采购文件事先说明、且经甲方事先书面同意外，乙方不得分包其应履行的合同义务。</w:t>
      </w:r>
    </w:p>
    <w:p>
      <w:pPr>
        <w:keepNext w:val="0"/>
        <w:keepLines w:val="0"/>
        <w:pageBreakBefore w:val="0"/>
        <w:widowControl w:val="0"/>
        <w:kinsoku/>
        <w:wordWrap w:val="0"/>
        <w:overflowPunct/>
        <w:topLinePunct w:val="0"/>
        <w:autoSpaceDE/>
        <w:autoSpaceDN/>
        <w:bidi w:val="0"/>
        <w:adjustRightInd/>
        <w:snapToGrid/>
        <w:spacing w:after="0" w:line="360" w:lineRule="auto"/>
        <w:jc w:val="both"/>
        <w:outlineLvl w:val="0"/>
        <w:rPr>
          <w:rFonts w:hint="eastAsia" w:ascii="宋体" w:hAnsi="宋体" w:eastAsia="宋体" w:cs="宋体"/>
          <w:b/>
          <w:color w:val="auto"/>
          <w:sz w:val="21"/>
          <w:szCs w:val="21"/>
          <w:highlight w:val="none"/>
        </w:rPr>
      </w:pPr>
      <w:bookmarkStart w:id="188" w:name="_Toc17406"/>
      <w:r>
        <w:rPr>
          <w:rFonts w:hint="eastAsia" w:ascii="宋体" w:hAnsi="宋体" w:eastAsia="宋体" w:cs="宋体"/>
          <w:b/>
          <w:color w:val="auto"/>
          <w:sz w:val="21"/>
          <w:szCs w:val="21"/>
          <w:highlight w:val="none"/>
        </w:rPr>
        <w:t>第十条  合同的生效</w:t>
      </w:r>
      <w:bookmarkEnd w:id="188"/>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1.本合同经甲乙双方授权代表签字并加盖公章或合同专用章后生效。</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2.生效后，除《政府采购法》第49条、第50条第二款规定的情形外，甲乙双方不得擅自变更、中止或终止合同。</w:t>
      </w:r>
    </w:p>
    <w:p>
      <w:pPr>
        <w:keepNext w:val="0"/>
        <w:keepLines w:val="0"/>
        <w:pageBreakBefore w:val="0"/>
        <w:widowControl w:val="0"/>
        <w:kinsoku/>
        <w:wordWrap w:val="0"/>
        <w:overflowPunct/>
        <w:topLinePunct w:val="0"/>
        <w:autoSpaceDE/>
        <w:autoSpaceDN/>
        <w:bidi w:val="0"/>
        <w:adjustRightInd/>
        <w:snapToGrid/>
        <w:spacing w:after="0" w:line="360" w:lineRule="auto"/>
        <w:jc w:val="both"/>
        <w:outlineLvl w:val="0"/>
        <w:rPr>
          <w:rFonts w:hint="eastAsia" w:ascii="宋体" w:hAnsi="宋体" w:eastAsia="宋体" w:cs="宋体"/>
          <w:b/>
          <w:color w:val="auto"/>
          <w:sz w:val="21"/>
          <w:szCs w:val="21"/>
          <w:highlight w:val="none"/>
        </w:rPr>
      </w:pPr>
      <w:bookmarkStart w:id="189" w:name="_Toc4313"/>
      <w:r>
        <w:rPr>
          <w:rFonts w:hint="eastAsia" w:ascii="宋体" w:hAnsi="宋体" w:eastAsia="宋体" w:cs="宋体"/>
          <w:b/>
          <w:color w:val="auto"/>
          <w:sz w:val="21"/>
          <w:szCs w:val="21"/>
          <w:highlight w:val="none"/>
        </w:rPr>
        <w:t>第十一条  违约责任</w:t>
      </w:r>
      <w:bookmarkEnd w:id="189"/>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1.乙方所交付的货物不符合本合同规定的，甲方有权拒收，乙方在得到甲方通知之日起</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个工作日内采取补救措施，逾期仍未采取有效措施的，甲方有权要求乙方赔偿因此造成的损失或扣留履约保证金；同时乙方应向甲方支付合同总价</w:t>
      </w:r>
      <w:r>
        <w:rPr>
          <w:rFonts w:hint="eastAsia"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rPr>
        <w:t>％的违约金。</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2.乙方逾期交付货物的，每逾期1天，乙方向甲方偿付逾期交货部分货款总额的0.04％的违约金。如乙方逾期交货达</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天，甲方有权解除合同，甲方解除合同的通知自到达乙方时生效。在此情况下，乙方给甲方造成的实际损失高于违约金的，对高出违约金的部分乙方应予以赔偿。</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3.甲方未按合同规定的期限向乙方支付货款的，每逾期1天甲方向乙方偿付欠款总额的</w:t>
      </w:r>
      <w:r>
        <w:rPr>
          <w:rFonts w:hint="eastAsia" w:ascii="宋体" w:hAnsi="宋体" w:eastAsia="宋体" w:cs="宋体"/>
          <w:color w:val="auto"/>
          <w:sz w:val="21"/>
          <w:szCs w:val="21"/>
          <w:highlight w:val="none"/>
          <w:u w:val="single"/>
        </w:rPr>
        <w:t>无/</w:t>
      </w:r>
      <w:r>
        <w:rPr>
          <w:rFonts w:hint="eastAsia" w:ascii="宋体" w:hAnsi="宋体" w:eastAsia="宋体" w:cs="宋体"/>
          <w:color w:val="auto"/>
          <w:sz w:val="21"/>
          <w:szCs w:val="21"/>
          <w:highlight w:val="none"/>
        </w:rPr>
        <w:t>‰违约金，但累计违约金总额不超过欠款总额的</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乙方承诺的或国家规定的质量保证期内（取两者中最长的期限），如经乙方两次维修，货物仍不能达到合同约定的质量标准、运行效果的，甲方有权要求乙方更换为全新合格货物并按本条第1款处理或甲方可要求退货，同时，乙方还须赔偿甲方因此遭受的损失。</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5.其它未尽事宜，以《民法典》和《政府采购法》等有关法律法规规定为准，无相关规定的，双方协商解决。</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6.安装附助材料(室内给排水、网线、电线)由乙方承担，甲方不需承担任何费用。</w:t>
      </w:r>
    </w:p>
    <w:p>
      <w:pPr>
        <w:keepNext w:val="0"/>
        <w:keepLines w:val="0"/>
        <w:pageBreakBefore w:val="0"/>
        <w:widowControl w:val="0"/>
        <w:kinsoku/>
        <w:wordWrap w:val="0"/>
        <w:overflowPunct/>
        <w:topLinePunct w:val="0"/>
        <w:autoSpaceDE/>
        <w:autoSpaceDN/>
        <w:bidi w:val="0"/>
        <w:adjustRightInd/>
        <w:snapToGrid/>
        <w:spacing w:after="0" w:line="360" w:lineRule="auto"/>
        <w:jc w:val="both"/>
        <w:outlineLvl w:val="0"/>
        <w:rPr>
          <w:rFonts w:hint="eastAsia" w:ascii="宋体" w:hAnsi="宋体" w:eastAsia="宋体" w:cs="宋体"/>
          <w:b/>
          <w:color w:val="auto"/>
          <w:sz w:val="21"/>
          <w:szCs w:val="21"/>
          <w:highlight w:val="none"/>
        </w:rPr>
      </w:pPr>
      <w:bookmarkStart w:id="190" w:name="_Toc8962"/>
      <w:r>
        <w:rPr>
          <w:rFonts w:hint="eastAsia" w:ascii="宋体" w:hAnsi="宋体" w:eastAsia="宋体" w:cs="宋体"/>
          <w:b/>
          <w:color w:val="auto"/>
          <w:sz w:val="21"/>
          <w:szCs w:val="21"/>
          <w:highlight w:val="none"/>
        </w:rPr>
        <w:t>第十二条  不可抗力</w:t>
      </w:r>
      <w:bookmarkEnd w:id="190"/>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甲、乙方中任何一方，因不可抗力不能按时或完全履行合同的，应及时通知对方，并在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个工作日内提供相应证明。未履行完合同部分是否继续履行、如何履行等问题，可由双方初步协商，并向主管部门和政府采购管理部门报告。确定为不可抗力原因造成的损失，免予承担责任。</w:t>
      </w:r>
    </w:p>
    <w:p>
      <w:pPr>
        <w:keepNext w:val="0"/>
        <w:keepLines w:val="0"/>
        <w:pageBreakBefore w:val="0"/>
        <w:widowControl w:val="0"/>
        <w:kinsoku/>
        <w:wordWrap w:val="0"/>
        <w:overflowPunct/>
        <w:topLinePunct w:val="0"/>
        <w:autoSpaceDE/>
        <w:autoSpaceDN/>
        <w:bidi w:val="0"/>
        <w:adjustRightInd/>
        <w:snapToGrid/>
        <w:spacing w:after="0" w:line="360" w:lineRule="auto"/>
        <w:jc w:val="both"/>
        <w:outlineLvl w:val="0"/>
        <w:rPr>
          <w:rFonts w:hint="eastAsia" w:ascii="宋体" w:hAnsi="宋体" w:eastAsia="宋体" w:cs="宋体"/>
          <w:b/>
          <w:color w:val="auto"/>
          <w:sz w:val="21"/>
          <w:szCs w:val="21"/>
          <w:highlight w:val="none"/>
        </w:rPr>
      </w:pPr>
      <w:bookmarkStart w:id="191" w:name="_Toc14480"/>
      <w:r>
        <w:rPr>
          <w:rFonts w:hint="eastAsia" w:ascii="宋体" w:hAnsi="宋体" w:eastAsia="宋体" w:cs="宋体"/>
          <w:b/>
          <w:color w:val="auto"/>
          <w:sz w:val="21"/>
          <w:szCs w:val="21"/>
          <w:highlight w:val="none"/>
        </w:rPr>
        <w:t>第十三条  争议的解决方式</w:t>
      </w:r>
      <w:bookmarkEnd w:id="191"/>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1.因货物的质量问题发生争议的，应当邀请国家认可的质量检测机构对货物质量进行鉴定。货物符合质量标准的，鉴定费由甲方承担；货物不符合质量标准的，鉴定费由乙方承担。</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2.在解释或者执行本合同的过程中发生争议时，双方应通过协商方式解决。</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3.经协商不能解决的争议，双方可选择以下第</w:t>
      </w:r>
      <w:r>
        <w:rPr>
          <w:rFonts w:hint="eastAsia" w:ascii="宋体" w:hAnsi="宋体" w:eastAsia="宋体" w:cs="宋体"/>
          <w:color w:val="auto"/>
          <w:sz w:val="21"/>
          <w:szCs w:val="21"/>
          <w:highlight w:val="none"/>
          <w:u w:val="single"/>
        </w:rPr>
        <w:t>①</w:t>
      </w:r>
      <w:r>
        <w:rPr>
          <w:rFonts w:hint="eastAsia" w:ascii="宋体" w:hAnsi="宋体" w:eastAsia="宋体" w:cs="宋体"/>
          <w:color w:val="auto"/>
          <w:sz w:val="21"/>
          <w:szCs w:val="21"/>
          <w:highlight w:val="none"/>
        </w:rPr>
        <w:t>种方式解决：</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①向甲方所在地的人民法院提起诉讼；</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②向郑州市仲裁委员会提出仲裁。</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4.在法院审理和仲裁期间，除有争议部分外，本合同其他部分可以履行的仍应按合同条款继续履行。</w:t>
      </w:r>
    </w:p>
    <w:p>
      <w:pPr>
        <w:keepNext w:val="0"/>
        <w:keepLines w:val="0"/>
        <w:pageBreakBefore w:val="0"/>
        <w:widowControl w:val="0"/>
        <w:kinsoku/>
        <w:wordWrap w:val="0"/>
        <w:overflowPunct/>
        <w:topLinePunct w:val="0"/>
        <w:autoSpaceDE/>
        <w:autoSpaceDN/>
        <w:bidi w:val="0"/>
        <w:adjustRightInd/>
        <w:snapToGrid/>
        <w:spacing w:after="0" w:line="360" w:lineRule="auto"/>
        <w:jc w:val="both"/>
        <w:outlineLvl w:val="0"/>
        <w:rPr>
          <w:rFonts w:hint="eastAsia" w:ascii="宋体" w:hAnsi="宋体" w:eastAsia="宋体" w:cs="宋体"/>
          <w:b/>
          <w:color w:val="auto"/>
          <w:sz w:val="21"/>
          <w:szCs w:val="21"/>
          <w:highlight w:val="none"/>
        </w:rPr>
      </w:pPr>
      <w:bookmarkStart w:id="192" w:name="_Toc12603"/>
      <w:r>
        <w:rPr>
          <w:rFonts w:hint="eastAsia" w:ascii="宋体" w:hAnsi="宋体" w:eastAsia="宋体" w:cs="宋体"/>
          <w:b/>
          <w:color w:val="auto"/>
          <w:sz w:val="21"/>
          <w:szCs w:val="21"/>
          <w:highlight w:val="none"/>
        </w:rPr>
        <w:t>第十四条  其他</w:t>
      </w:r>
      <w:bookmarkEnd w:id="192"/>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符合《政府采购法》第49条规定的，经双方协商，办理政府采购手续后，可签订补充合同，所签订的补充合同与本合同具有同等法律效力。</w:t>
      </w:r>
    </w:p>
    <w:p>
      <w:pPr>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本合同一式六份，甲方肆份、乙方贰份。</w:t>
      </w:r>
    </w:p>
    <w:p>
      <w:pPr>
        <w:pageBreakBefore w:val="0"/>
        <w:kinsoku/>
        <w:wordWrap w:val="0"/>
        <w:overflowPunct/>
        <w:topLinePunct w:val="0"/>
        <w:bidi w:val="0"/>
        <w:spacing w:after="0"/>
        <w:jc w:val="both"/>
        <w:rPr>
          <w:rFonts w:ascii="仿宋" w:hAnsi="仿宋" w:eastAsia="仿宋" w:cs="宋体"/>
          <w:color w:val="auto"/>
          <w:sz w:val="32"/>
          <w:szCs w:val="32"/>
          <w:highlight w:val="none"/>
        </w:rPr>
      </w:pPr>
    </w:p>
    <w:p>
      <w:pPr>
        <w:pageBreakBefore w:val="0"/>
        <w:kinsoku/>
        <w:wordWrap w:val="0"/>
        <w:overflowPunct/>
        <w:topLinePunct w:val="0"/>
        <w:bidi w:val="0"/>
        <w:spacing w:after="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乙方：</w:t>
      </w:r>
    </w:p>
    <w:p>
      <w:pPr>
        <w:pageBreakBefore w:val="0"/>
        <w:kinsoku/>
        <w:wordWrap w:val="0"/>
        <w:overflowPunct/>
        <w:topLinePunct w:val="0"/>
        <w:bidi w:val="0"/>
        <w:spacing w:after="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名称：（盖章）                  名称：（盖章）</w:t>
      </w:r>
    </w:p>
    <w:p>
      <w:pPr>
        <w:pageBreakBefore w:val="0"/>
        <w:kinsoku/>
        <w:wordWrap w:val="0"/>
        <w:overflowPunct/>
        <w:topLinePunct w:val="0"/>
        <w:bidi w:val="0"/>
        <w:spacing w:after="0" w:line="360" w:lineRule="auto"/>
        <w:ind w:left="5600" w:hanging="4200" w:hangingChars="2000"/>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地址：                </w:t>
      </w:r>
    </w:p>
    <w:p>
      <w:pPr>
        <w:pageBreakBefore w:val="0"/>
        <w:kinsoku/>
        <w:wordWrap w:val="0"/>
        <w:overflowPunct/>
        <w:topLinePunct w:val="0"/>
        <w:bidi w:val="0"/>
        <w:spacing w:after="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法定代表人或委托代表人          法定代表人或委托代表人    </w:t>
      </w:r>
    </w:p>
    <w:p>
      <w:pPr>
        <w:pageBreakBefore w:val="0"/>
        <w:kinsoku/>
        <w:wordWrap w:val="0"/>
        <w:overflowPunct/>
        <w:topLinePunct w:val="0"/>
        <w:bidi w:val="0"/>
        <w:spacing w:after="0" w:line="360" w:lineRule="auto"/>
        <w:jc w:val="both"/>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签字：                          签字：</w:t>
      </w:r>
    </w:p>
    <w:p>
      <w:pPr>
        <w:pageBreakBefore w:val="0"/>
        <w:kinsoku/>
        <w:wordWrap w:val="0"/>
        <w:overflowPunct/>
        <w:topLinePunct w:val="0"/>
        <w:bidi w:val="0"/>
        <w:spacing w:line="360" w:lineRule="auto"/>
        <w:ind w:left="6720" w:hanging="5040" w:hangingChars="24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开户行：</w:t>
      </w:r>
    </w:p>
    <w:p>
      <w:pPr>
        <w:pageBreakBefore w:val="0"/>
        <w:kinsoku/>
        <w:wordWrap w:val="0"/>
        <w:overflowPunct/>
        <w:topLinePunct w:val="0"/>
        <w:bidi w:val="0"/>
        <w:spacing w:line="360" w:lineRule="auto"/>
        <w:ind w:left="6720" w:hanging="5040" w:hangingChars="24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帐号：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帐号：</w:t>
      </w:r>
    </w:p>
    <w:p>
      <w:pPr>
        <w:pageBreakBefore w:val="0"/>
        <w:kinsoku/>
        <w:wordWrap w:val="0"/>
        <w:overflowPunct/>
        <w:topLinePunct w:val="0"/>
        <w:bidi w:val="0"/>
        <w:spacing w:after="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纳税人识别号                    纳税人识别号</w:t>
      </w:r>
    </w:p>
    <w:p>
      <w:pPr>
        <w:pageBreakBefore w:val="0"/>
        <w:kinsoku/>
        <w:wordWrap w:val="0"/>
        <w:overflowPunct/>
        <w:topLinePunct w:val="0"/>
        <w:bidi w:val="0"/>
        <w:spacing w:after="0" w:line="360" w:lineRule="auto"/>
        <w:jc w:val="both"/>
        <w:rPr>
          <w:rFonts w:ascii="宋体" w:hAnsi="宋体" w:eastAsia="宋体"/>
          <w:color w:val="auto"/>
          <w:sz w:val="28"/>
          <w:szCs w:val="28"/>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val="en-US" w:eastAsia="zh-CN"/>
        </w:rPr>
        <w:t>xxxx</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日         时间：</w:t>
      </w:r>
      <w:r>
        <w:rPr>
          <w:rFonts w:hint="eastAsia" w:ascii="宋体" w:hAnsi="宋体" w:eastAsia="宋体" w:cs="宋体"/>
          <w:color w:val="auto"/>
          <w:sz w:val="21"/>
          <w:szCs w:val="21"/>
          <w:highlight w:val="none"/>
          <w:lang w:val="en-US" w:eastAsia="zh-CN"/>
        </w:rPr>
        <w:t>xxxx</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xx</w:t>
      </w:r>
      <w:r>
        <w:rPr>
          <w:rFonts w:hint="eastAsia" w:ascii="宋体" w:hAnsi="宋体" w:eastAsia="宋体" w:cs="宋体"/>
          <w:color w:val="auto"/>
          <w:sz w:val="21"/>
          <w:szCs w:val="21"/>
          <w:highlight w:val="none"/>
        </w:rPr>
        <w:t>日</w:t>
      </w:r>
    </w:p>
    <w:p>
      <w:pPr>
        <w:pageBreakBefore w:val="0"/>
        <w:kinsoku/>
        <w:wordWrap w:val="0"/>
        <w:overflowPunct/>
        <w:topLinePunct w:val="0"/>
        <w:bidi w:val="0"/>
        <w:jc w:val="both"/>
        <w:rPr>
          <w:rFonts w:ascii="仿宋" w:hAnsi="仿宋" w:eastAsia="仿宋"/>
          <w:color w:val="auto"/>
          <w:sz w:val="32"/>
          <w:szCs w:val="32"/>
          <w:highlight w:val="none"/>
        </w:rPr>
      </w:pPr>
    </w:p>
    <w:p>
      <w:pPr>
        <w:pageBreakBefore w:val="0"/>
        <w:kinsoku/>
        <w:wordWrap w:val="0"/>
        <w:overflowPunct/>
        <w:topLinePunct w:val="0"/>
        <w:bidi w:val="0"/>
        <w:jc w:val="both"/>
        <w:rPr>
          <w:rFonts w:ascii="仿宋" w:hAnsi="仿宋" w:eastAsia="仿宋"/>
          <w:color w:val="auto"/>
          <w:sz w:val="32"/>
          <w:szCs w:val="32"/>
          <w:highlight w:val="none"/>
        </w:rPr>
      </w:pPr>
    </w:p>
    <w:p>
      <w:pPr>
        <w:pageBreakBefore w:val="0"/>
        <w:kinsoku/>
        <w:wordWrap w:val="0"/>
        <w:overflowPunct/>
        <w:topLinePunct w:val="0"/>
        <w:bidi w:val="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后附《供货一览表》</w:t>
      </w:r>
    </w:p>
    <w:tbl>
      <w:tblPr>
        <w:tblStyle w:val="27"/>
        <w:tblW w:w="1034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0348" w:type="dxa"/>
            <w:noWrap w:val="0"/>
            <w:vAlign w:val="top"/>
          </w:tcPr>
          <w:p>
            <w:pPr>
              <w:pageBreakBefore w:val="0"/>
              <w:kinsoku/>
              <w:wordWrap w:val="0"/>
              <w:overflowPunct/>
              <w:topLinePunct w:val="0"/>
              <w:bidi w:val="0"/>
              <w:jc w:val="both"/>
              <w:rPr>
                <w:rFonts w:hint="eastAsia" w:ascii="宋体" w:hAnsi="宋体" w:eastAsia="宋体" w:cs="宋体"/>
                <w:color w:val="auto"/>
                <w:sz w:val="21"/>
                <w:szCs w:val="21"/>
                <w:highlight w:val="none"/>
              </w:rPr>
            </w:pPr>
          </w:p>
        </w:tc>
      </w:tr>
    </w:tbl>
    <w:p>
      <w:pPr>
        <w:keepNext w:val="0"/>
        <w:keepLines w:val="0"/>
        <w:pageBreakBefore w:val="0"/>
        <w:widowControl w:val="0"/>
        <w:kinsoku/>
        <w:wordWrap w:val="0"/>
        <w:overflowPunct/>
        <w:topLinePunct w:val="0"/>
        <w:bidi w:val="0"/>
        <w:spacing w:line="360" w:lineRule="auto"/>
        <w:ind w:firstLine="210" w:firstLineChars="100"/>
        <w:textAlignment w:val="auto"/>
        <w:rPr>
          <w:rFonts w:hint="eastAsia" w:ascii="宋体" w:hAnsi="宋体" w:eastAsia="宋体" w:cs="宋体"/>
          <w:b w:val="0"/>
          <w:bCs w:val="0"/>
          <w:color w:val="auto"/>
          <w:sz w:val="21"/>
          <w:szCs w:val="21"/>
          <w:highlight w:val="none"/>
        </w:rPr>
      </w:pPr>
    </w:p>
    <w:p>
      <w:pPr>
        <w:keepNext w:val="0"/>
        <w:keepLines w:val="0"/>
        <w:pageBreakBefore w:val="0"/>
        <w:widowControl w:val="0"/>
        <w:kinsoku/>
        <w:wordWrap w:val="0"/>
        <w:overflowPunct/>
        <w:topLinePunct w:val="0"/>
        <w:bidi w:val="0"/>
        <w:spacing w:line="360" w:lineRule="auto"/>
        <w:textAlignment w:val="auto"/>
        <w:rPr>
          <w:rFonts w:hint="eastAsia" w:ascii="宋体" w:hAnsi="宋体" w:eastAsia="宋体" w:cs="宋体"/>
          <w:color w:val="auto"/>
          <w:kern w:val="0"/>
          <w:sz w:val="21"/>
          <w:szCs w:val="21"/>
          <w:highlight w:val="none"/>
        </w:rPr>
      </w:pPr>
    </w:p>
    <w:p>
      <w:pPr>
        <w:keepNext w:val="0"/>
        <w:keepLines w:val="0"/>
        <w:pageBreakBefore w:val="0"/>
        <w:widowControl w:val="0"/>
        <w:kinsoku/>
        <w:wordWrap w:val="0"/>
        <w:overflowPunct/>
        <w:topLinePunct w:val="0"/>
        <w:bidi w:val="0"/>
        <w:spacing w:line="360" w:lineRule="auto"/>
        <w:textAlignment w:val="auto"/>
        <w:rPr>
          <w:rFonts w:hint="eastAsia" w:ascii="宋体" w:hAnsi="宋体" w:eastAsia="宋体" w:cs="宋体"/>
          <w:color w:val="auto"/>
          <w:sz w:val="21"/>
          <w:szCs w:val="21"/>
          <w:highlight w:val="none"/>
        </w:rPr>
      </w:pPr>
    </w:p>
    <w:p>
      <w:pPr>
        <w:pageBreakBefore w:val="0"/>
        <w:kinsoku/>
        <w:wordWrap w:val="0"/>
        <w:overflowPunct/>
        <w:topLinePunct w:val="0"/>
        <w:bidi w:val="0"/>
        <w:rPr>
          <w:color w:val="auto"/>
          <w:highlight w:val="none"/>
        </w:rPr>
      </w:pPr>
      <w:r>
        <w:rPr>
          <w:color w:val="auto"/>
          <w:highlight w:val="none"/>
        </w:rPr>
        <w:br w:type="page"/>
      </w:r>
    </w:p>
    <w:p>
      <w:pPr>
        <w:pStyle w:val="43"/>
        <w:pageBreakBefore w:val="0"/>
        <w:kinsoku/>
        <w:wordWrap w:val="0"/>
        <w:overflowPunct/>
        <w:topLinePunct w:val="0"/>
        <w:bidi w:val="0"/>
        <w:rPr>
          <w:color w:val="auto"/>
          <w:highlight w:val="none"/>
        </w:rPr>
      </w:pPr>
    </w:p>
    <w:p>
      <w:pPr>
        <w:pStyle w:val="2"/>
        <w:pageBreakBefore w:val="0"/>
        <w:kinsoku/>
        <w:wordWrap w:val="0"/>
        <w:overflowPunct/>
        <w:topLinePunct w:val="0"/>
        <w:bidi w:val="0"/>
        <w:ind w:left="0" w:leftChars="0" w:firstLine="0" w:firstLineChars="0"/>
        <w:outlineLvl w:val="0"/>
        <w:rPr>
          <w:rFonts w:hint="eastAsia" w:eastAsia="宋体"/>
          <w:color w:val="auto"/>
          <w:highlight w:val="none"/>
          <w:lang w:eastAsia="zh-CN"/>
        </w:rPr>
      </w:pPr>
      <w:bookmarkStart w:id="193" w:name="_Toc14898"/>
      <w:bookmarkStart w:id="194" w:name="_Toc7820"/>
      <w:bookmarkStart w:id="195" w:name="_Toc15892"/>
      <w:bookmarkStart w:id="196" w:name="_Toc2497"/>
      <w:bookmarkStart w:id="197" w:name="_Toc742"/>
      <w:bookmarkStart w:id="198" w:name="_Toc15300"/>
      <w:r>
        <w:rPr>
          <w:color w:val="auto"/>
          <w:highlight w:val="none"/>
        </w:rPr>
        <w:t>第五章</w:t>
      </w:r>
      <w:bookmarkStart w:id="199" w:name="第五章 项目概况及服务要求"/>
      <w:bookmarkEnd w:id="199"/>
      <w:r>
        <w:rPr>
          <w:rFonts w:hint="eastAsia"/>
          <w:color w:val="auto"/>
          <w:highlight w:val="none"/>
          <w:lang w:val="en-US" w:eastAsia="zh-CN"/>
        </w:rPr>
        <w:t xml:space="preserve">  </w:t>
      </w:r>
      <w:bookmarkEnd w:id="193"/>
      <w:bookmarkEnd w:id="194"/>
      <w:bookmarkEnd w:id="195"/>
      <w:bookmarkEnd w:id="196"/>
      <w:r>
        <w:rPr>
          <w:rFonts w:hint="eastAsia"/>
          <w:color w:val="auto"/>
          <w:highlight w:val="none"/>
          <w:lang w:val="en-US" w:eastAsia="zh-CN"/>
        </w:rPr>
        <w:t>采购</w:t>
      </w:r>
      <w:r>
        <w:rPr>
          <w:rFonts w:hint="eastAsia"/>
          <w:color w:val="auto"/>
          <w:highlight w:val="none"/>
          <w:lang w:eastAsia="zh-CN"/>
        </w:rPr>
        <w:t>需求</w:t>
      </w:r>
      <w:bookmarkEnd w:id="197"/>
      <w:bookmarkEnd w:id="198"/>
    </w:p>
    <w:p>
      <w:pPr>
        <w:pageBreakBefore w:val="0"/>
        <w:kinsoku/>
        <w:wordWrap w:val="0"/>
        <w:overflowPunct/>
        <w:topLinePunct w:val="0"/>
        <w:bidi w:val="0"/>
        <w:ind w:left="0" w:leftChars="0" w:firstLine="0" w:firstLineChars="0"/>
        <w:jc w:val="center"/>
        <w:outlineLvl w:val="9"/>
        <w:rPr>
          <w:color w:val="auto"/>
          <w:highlight w:val="none"/>
        </w:rPr>
      </w:pPr>
      <w:bookmarkStart w:id="200" w:name="_Toc29389"/>
      <w:bookmarkStart w:id="201" w:name="_Toc14172"/>
      <w:bookmarkStart w:id="202" w:name="_Toc32483"/>
      <w:bookmarkStart w:id="203" w:name="_Toc14406"/>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14"/>
        <w:gridCol w:w="811"/>
        <w:gridCol w:w="6621"/>
        <w:gridCol w:w="12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0"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序号</w:t>
            </w:r>
          </w:p>
        </w:tc>
        <w:tc>
          <w:tcPr>
            <w:tcW w:w="4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设备名称</w:t>
            </w:r>
          </w:p>
        </w:tc>
        <w:tc>
          <w:tcPr>
            <w:tcW w:w="3608"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配置</w:t>
            </w:r>
          </w:p>
        </w:tc>
        <w:tc>
          <w:tcPr>
            <w:tcW w:w="668"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trPr>
        <w:tc>
          <w:tcPr>
            <w:tcW w:w="280"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w:t>
            </w:r>
          </w:p>
        </w:tc>
        <w:tc>
          <w:tcPr>
            <w:tcW w:w="442"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智能教学终端</w:t>
            </w:r>
          </w:p>
        </w:tc>
        <w:tc>
          <w:tcPr>
            <w:tcW w:w="3608" w:type="pct"/>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1.每班50台。</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2.屏幕尺寸≧9.7英寸；分辨率≧1280*800；</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3.CPU主频：4*2.0GHz+4*1.7GHz；</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4.CPU核心≧8核；</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5.存储空间RAM≧3Gb，ROM≧32Gb；；</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6.摄像头前置≧200万像素，F2.4，固定焦距，后置≧500万像素，F2.2，自动对焦；</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7.WIFI &amp;蓝牙2*2 MIMO，IEEE 802.11 a/b/g/n/ac，2.4G/5G，BT 5.1，兼容 BT 4.0，BT 2.1+EDR；</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8.管控功能：终端预置安全桌面替换系统默认桌面，限制用户随意修改系统设置。未授权的用户无法下载第三方ROM刷机成为非管控版本；系统可以灵活设置学习终端的使用时间段，控制学习终端整体使用时长。并可针对单个或多个应用设置使用时间段。平台提供专属应用商店，授权分发用户安装使用的App，防止非法、恶意应用随意安装和使用。可实现全国、省市区县、学校、班级、学生不同层级的颗粒度授权。严格进行全面的网络控制，用户在学习终端上无法访问未授权的网页地址和资源。可以限制合法应用内的广告和链接跳转。对特殊应用可以单独设置开放网络权限。具有禁止Recovery模式下恢复出厂设置功能。（不得影响Recovery模式其他功能）。</w:t>
            </w:r>
          </w:p>
        </w:tc>
        <w:tc>
          <w:tcPr>
            <w:tcW w:w="668"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7班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0"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2</w:t>
            </w:r>
          </w:p>
        </w:tc>
        <w:tc>
          <w:tcPr>
            <w:tcW w:w="442"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无线AP</w:t>
            </w:r>
          </w:p>
        </w:tc>
        <w:tc>
          <w:tcPr>
            <w:tcW w:w="3608" w:type="pct"/>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1.名称：无线AP</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2.支持标准的802.11ax协议,采用双路双频设计，可同时工作在802.11a/b/g/n/ac模式；</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3.整机支持≥4条空间流；</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4.整机最大接入速率≥2.976Gbps；</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5.配置10/100/1000Base-T以太网电口≥1个，2.5G光口≥1个；</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6.支持蓝牙5.1协议。</w:t>
            </w:r>
          </w:p>
        </w:tc>
        <w:tc>
          <w:tcPr>
            <w:tcW w:w="668"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7个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80"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3</w:t>
            </w:r>
          </w:p>
        </w:tc>
        <w:tc>
          <w:tcPr>
            <w:tcW w:w="442"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充电柜</w:t>
            </w:r>
          </w:p>
        </w:tc>
        <w:tc>
          <w:tcPr>
            <w:tcW w:w="3608" w:type="pct"/>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1.名称:PAD终端充电柜</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2.支持不少于60台PAD终端同时充电；</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3.柜内设有温控风扇，柜内温度到达指定温度后风扇可自动开启运行，机柜左右两侧有通风口，方便柜内的热气排出；</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4.柜内不少于3层，每层可以同时给予不少于20台PAD终端充电，每层在柜体外侧均设有单独的开关控制；PAD终端的隔断采用ABS工程塑料材质，防止给设备带来划伤；</w:t>
            </w:r>
            <w:r>
              <w:rPr>
                <w:rFonts w:hint="eastAsia" w:ascii="仿宋" w:hAnsi="仿宋" w:eastAsia="仿宋" w:cs="仿宋"/>
                <w:i w:val="0"/>
                <w:iCs w:val="0"/>
                <w:color w:val="auto"/>
                <w:kern w:val="0"/>
                <w:sz w:val="22"/>
                <w:szCs w:val="22"/>
                <w:u w:val="none"/>
                <w:lang w:val="en-US" w:eastAsia="zh-CN" w:bidi="ar"/>
              </w:rPr>
              <w:br w:type="textWrapping"/>
            </w:r>
            <w:r>
              <w:rPr>
                <w:rFonts w:hint="eastAsia" w:ascii="仿宋" w:hAnsi="仿宋" w:eastAsia="仿宋" w:cs="仿宋"/>
                <w:i w:val="0"/>
                <w:iCs w:val="0"/>
                <w:color w:val="auto"/>
                <w:kern w:val="0"/>
                <w:sz w:val="22"/>
                <w:szCs w:val="22"/>
                <w:u w:val="none"/>
                <w:lang w:val="en-US" w:eastAsia="zh-CN" w:bidi="ar"/>
              </w:rPr>
              <w:t>5.安全：电源开关带有通电指示功能和软著认证的安全漏电保护系统，强电与弱电区域分离，确保使用者的人身安全；</w:t>
            </w:r>
          </w:p>
        </w:tc>
        <w:tc>
          <w:tcPr>
            <w:tcW w:w="668"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7台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06" w:hRule="atLeast"/>
        </w:trPr>
        <w:tc>
          <w:tcPr>
            <w:tcW w:w="280"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4</w:t>
            </w:r>
          </w:p>
        </w:tc>
        <w:tc>
          <w:tcPr>
            <w:tcW w:w="442" w:type="pct"/>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驻校服务</w:t>
            </w:r>
          </w:p>
        </w:tc>
        <w:tc>
          <w:tcPr>
            <w:tcW w:w="3608" w:type="pct"/>
            <w:shd w:val="clear" w:color="auto" w:fill="auto"/>
            <w:noWrap/>
            <w:vAlign w:val="center"/>
          </w:tcPr>
          <w:p>
            <w:pPr>
              <w:keepNext w:val="0"/>
              <w:keepLines w:val="0"/>
              <w:widowControl/>
              <w:suppressLineNumbers w:val="0"/>
              <w:jc w:val="left"/>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t>服务人员驻校提供技术支持和师生培训服务。在使用期间，驻校服务人员不低于1人，服务期为1年。</w:t>
            </w:r>
          </w:p>
        </w:tc>
        <w:tc>
          <w:tcPr>
            <w:tcW w:w="668"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kern w:val="0"/>
                <w:sz w:val="22"/>
                <w:szCs w:val="22"/>
                <w:u w:val="none"/>
                <w:lang w:val="en-US" w:eastAsia="zh-CN" w:bidi="ar"/>
              </w:rPr>
              <w:t>不低于1人</w:t>
            </w:r>
          </w:p>
        </w:tc>
      </w:tr>
    </w:tbl>
    <w:p>
      <w:pPr>
        <w:pStyle w:val="42"/>
        <w:numPr>
          <w:ilvl w:val="0"/>
          <w:numId w:val="0"/>
        </w:numPr>
        <w:ind w:leftChars="0" w:right="0" w:rightChars="0"/>
        <w:outlineLvl w:val="9"/>
        <w:rPr>
          <w:color w:val="auto"/>
          <w:highlight w:val="none"/>
        </w:rPr>
      </w:pPr>
    </w:p>
    <w:p>
      <w:pPr>
        <w:rPr>
          <w:color w:val="auto"/>
          <w:highlight w:val="none"/>
        </w:rPr>
      </w:pPr>
      <w:r>
        <w:rPr>
          <w:color w:val="auto"/>
          <w:highlight w:val="none"/>
        </w:rPr>
        <w:br w:type="page"/>
      </w:r>
    </w:p>
    <w:p>
      <w:pPr>
        <w:outlineLvl w:val="9"/>
      </w:pPr>
    </w:p>
    <w:p>
      <w:pPr>
        <w:pStyle w:val="24"/>
      </w:pPr>
    </w:p>
    <w:p>
      <w:pPr>
        <w:pStyle w:val="25"/>
      </w:pPr>
    </w:p>
    <w:p/>
    <w:p>
      <w:pPr>
        <w:pStyle w:val="24"/>
      </w:pPr>
    </w:p>
    <w:p>
      <w:pPr>
        <w:pStyle w:val="25"/>
      </w:pPr>
    </w:p>
    <w:p/>
    <w:p>
      <w:pPr>
        <w:pStyle w:val="24"/>
      </w:pPr>
    </w:p>
    <w:p>
      <w:pPr>
        <w:pStyle w:val="25"/>
      </w:pPr>
    </w:p>
    <w:p>
      <w:pPr>
        <w:pageBreakBefore w:val="0"/>
        <w:kinsoku/>
        <w:wordWrap w:val="0"/>
        <w:overflowPunct/>
        <w:topLinePunct w:val="0"/>
        <w:bidi w:val="0"/>
        <w:ind w:left="0" w:leftChars="0" w:firstLine="0" w:firstLineChars="0"/>
        <w:jc w:val="center"/>
        <w:outlineLvl w:val="9"/>
        <w:rPr>
          <w:color w:val="auto"/>
          <w:highlight w:val="none"/>
        </w:rPr>
      </w:pPr>
    </w:p>
    <w:p>
      <w:pPr>
        <w:pStyle w:val="2"/>
        <w:pageBreakBefore w:val="0"/>
        <w:kinsoku/>
        <w:wordWrap w:val="0"/>
        <w:overflowPunct/>
        <w:topLinePunct w:val="0"/>
        <w:bidi w:val="0"/>
        <w:ind w:left="0" w:leftChars="0" w:firstLine="0" w:firstLineChars="0"/>
        <w:jc w:val="center"/>
        <w:outlineLvl w:val="0"/>
        <w:rPr>
          <w:rFonts w:hint="eastAsia" w:eastAsia="宋体"/>
          <w:color w:val="auto"/>
          <w:highlight w:val="none"/>
          <w:lang w:eastAsia="zh-CN"/>
        </w:rPr>
      </w:pPr>
      <w:bookmarkStart w:id="204" w:name="_Toc2656"/>
      <w:bookmarkStart w:id="205" w:name="_Toc25550"/>
      <w:r>
        <w:rPr>
          <w:color w:val="auto"/>
          <w:highlight w:val="none"/>
        </w:rPr>
        <w:t>第六章</w:t>
      </w:r>
      <w:r>
        <w:rPr>
          <w:rFonts w:hint="eastAsia"/>
          <w:color w:val="auto"/>
          <w:highlight w:val="none"/>
          <w:lang w:val="en-US" w:eastAsia="zh-CN"/>
        </w:rPr>
        <w:t xml:space="preserve">  </w:t>
      </w:r>
      <w:bookmarkEnd w:id="200"/>
      <w:bookmarkEnd w:id="201"/>
      <w:bookmarkEnd w:id="202"/>
      <w:bookmarkEnd w:id="203"/>
      <w:r>
        <w:rPr>
          <w:rFonts w:hint="eastAsia"/>
          <w:color w:val="auto"/>
          <w:highlight w:val="none"/>
          <w:lang w:eastAsia="zh-CN"/>
        </w:rPr>
        <w:t>响应文件格式</w:t>
      </w:r>
      <w:bookmarkEnd w:id="204"/>
      <w:bookmarkEnd w:id="205"/>
    </w:p>
    <w:p>
      <w:pPr>
        <w:pageBreakBefore w:val="0"/>
        <w:kinsoku/>
        <w:wordWrap w:val="0"/>
        <w:overflowPunct/>
        <w:topLinePunct w:val="0"/>
        <w:bidi w:val="0"/>
        <w:ind w:firstLine="400" w:firstLineChars="200"/>
        <w:rPr>
          <w:color w:val="auto"/>
          <w:sz w:val="20"/>
          <w:highlight w:val="none"/>
        </w:rPr>
      </w:pPr>
      <w:r>
        <w:rPr>
          <w:color w:val="auto"/>
          <w:sz w:val="20"/>
          <w:highlight w:val="none"/>
        </w:rPr>
        <w:br w:type="page"/>
      </w:r>
    </w:p>
    <w:p>
      <w:pPr>
        <w:pStyle w:val="8"/>
        <w:pageBreakBefore w:val="0"/>
        <w:kinsoku/>
        <w:wordWrap w:val="0"/>
        <w:overflowPunct/>
        <w:topLinePunct w:val="0"/>
        <w:bidi w:val="0"/>
        <w:jc w:val="center"/>
        <w:rPr>
          <w:rFonts w:hint="eastAsia"/>
          <w:color w:val="auto"/>
          <w:highlight w:val="none"/>
        </w:rPr>
      </w:pPr>
      <w:bookmarkStart w:id="206" w:name="_Toc3200"/>
    </w:p>
    <w:p>
      <w:pPr>
        <w:pStyle w:val="8"/>
        <w:pageBreakBefore w:val="0"/>
        <w:kinsoku/>
        <w:wordWrap w:val="0"/>
        <w:overflowPunct/>
        <w:topLinePunct w:val="0"/>
        <w:bidi w:val="0"/>
        <w:jc w:val="center"/>
        <w:rPr>
          <w:rFonts w:hint="eastAsia"/>
          <w:color w:val="auto"/>
          <w:highlight w:val="none"/>
        </w:rPr>
      </w:pPr>
    </w:p>
    <w:p>
      <w:pPr>
        <w:pageBreakBefore w:val="0"/>
        <w:kinsoku/>
        <w:wordWrap w:val="0"/>
        <w:overflowPunct/>
        <w:topLinePunct w:val="0"/>
        <w:bidi w:val="0"/>
        <w:rPr>
          <w:rFonts w:hint="eastAsia"/>
          <w:color w:val="auto"/>
          <w:highlight w:val="none"/>
        </w:rPr>
      </w:pPr>
    </w:p>
    <w:p>
      <w:pPr>
        <w:pStyle w:val="8"/>
        <w:pageBreakBefore w:val="0"/>
        <w:kinsoku/>
        <w:wordWrap w:val="0"/>
        <w:overflowPunct/>
        <w:topLinePunct w:val="0"/>
        <w:bidi w:val="0"/>
        <w:jc w:val="center"/>
        <w:rPr>
          <w:rFonts w:hint="eastAsia"/>
          <w:color w:val="auto"/>
          <w:highlight w:val="none"/>
        </w:rPr>
      </w:pPr>
    </w:p>
    <w:p>
      <w:pPr>
        <w:pStyle w:val="8"/>
        <w:pageBreakBefore w:val="0"/>
        <w:kinsoku/>
        <w:wordWrap w:val="0"/>
        <w:overflowPunct/>
        <w:topLinePunct w:val="0"/>
        <w:bidi w:val="0"/>
        <w:jc w:val="center"/>
        <w:rPr>
          <w:rFonts w:hint="eastAsia"/>
          <w:color w:val="auto"/>
          <w:highlight w:val="none"/>
          <w:u w:val="single"/>
        </w:rPr>
      </w:pPr>
    </w:p>
    <w:p>
      <w:pPr>
        <w:pStyle w:val="8"/>
        <w:pageBreakBefore w:val="0"/>
        <w:kinsoku/>
        <w:wordWrap w:val="0"/>
        <w:overflowPunct/>
        <w:topLinePunct w:val="0"/>
        <w:bidi w:val="0"/>
        <w:jc w:val="center"/>
        <w:rPr>
          <w:rFonts w:hint="eastAsia"/>
          <w:b/>
          <w:bCs/>
          <w:color w:val="auto"/>
          <w:sz w:val="32"/>
          <w:szCs w:val="32"/>
          <w:highlight w:val="none"/>
        </w:rPr>
      </w:pPr>
      <w:r>
        <w:rPr>
          <w:rFonts w:hint="eastAsia"/>
          <w:b/>
          <w:bCs/>
          <w:color w:val="auto"/>
          <w:sz w:val="32"/>
          <w:szCs w:val="32"/>
          <w:highlight w:val="none"/>
          <w:u w:val="single"/>
          <w:lang w:val="en-US" w:eastAsia="zh-CN"/>
        </w:rPr>
        <w:t xml:space="preserve">         </w:t>
      </w:r>
      <w:r>
        <w:rPr>
          <w:rFonts w:hint="eastAsia"/>
          <w:b/>
          <w:bCs/>
          <w:color w:val="auto"/>
          <w:sz w:val="32"/>
          <w:szCs w:val="32"/>
          <w:highlight w:val="none"/>
          <w:u w:val="single"/>
        </w:rPr>
        <w:t>（项目名称</w:t>
      </w:r>
      <w:r>
        <w:rPr>
          <w:rFonts w:hint="eastAsia"/>
          <w:b/>
          <w:bCs/>
          <w:color w:val="auto"/>
          <w:sz w:val="32"/>
          <w:szCs w:val="32"/>
          <w:highlight w:val="none"/>
          <w:u w:val="single"/>
          <w:lang w:eastAsia="zh-CN"/>
        </w:rPr>
        <w:t>）</w:t>
      </w:r>
      <w:r>
        <w:rPr>
          <w:rFonts w:hint="eastAsia"/>
          <w:b/>
          <w:bCs/>
          <w:color w:val="auto"/>
          <w:sz w:val="32"/>
          <w:szCs w:val="32"/>
          <w:highlight w:val="none"/>
          <w:u w:val="single"/>
          <w:lang w:val="en-US" w:eastAsia="zh-CN"/>
        </w:rPr>
        <w:t xml:space="preserve">           </w:t>
      </w:r>
      <w:r>
        <w:rPr>
          <w:rFonts w:hint="eastAsia"/>
          <w:b/>
          <w:bCs/>
          <w:color w:val="auto"/>
          <w:sz w:val="32"/>
          <w:szCs w:val="32"/>
          <w:highlight w:val="none"/>
        </w:rPr>
        <w:t>竞争性磋商</w:t>
      </w:r>
      <w:bookmarkEnd w:id="206"/>
    </w:p>
    <w:p>
      <w:pPr>
        <w:pageBreakBefore w:val="0"/>
        <w:kinsoku/>
        <w:wordWrap w:val="0"/>
        <w:overflowPunct/>
        <w:topLinePunct w:val="0"/>
        <w:bidi w:val="0"/>
        <w:spacing w:before="0"/>
        <w:ind w:right="0"/>
        <w:jc w:val="both"/>
        <w:rPr>
          <w:b/>
          <w:color w:val="auto"/>
          <w:sz w:val="84"/>
          <w:highlight w:val="none"/>
        </w:rPr>
      </w:pPr>
    </w:p>
    <w:p>
      <w:pPr>
        <w:pageBreakBefore w:val="0"/>
        <w:kinsoku/>
        <w:wordWrap w:val="0"/>
        <w:overflowPunct/>
        <w:topLinePunct w:val="0"/>
        <w:bidi w:val="0"/>
        <w:spacing w:before="0"/>
        <w:ind w:right="0"/>
        <w:jc w:val="center"/>
        <w:rPr>
          <w:b/>
          <w:color w:val="auto"/>
          <w:sz w:val="84"/>
          <w:highlight w:val="none"/>
        </w:rPr>
      </w:pPr>
    </w:p>
    <w:p>
      <w:pPr>
        <w:pageBreakBefore w:val="0"/>
        <w:kinsoku/>
        <w:wordWrap w:val="0"/>
        <w:overflowPunct/>
        <w:topLinePunct w:val="0"/>
        <w:bidi w:val="0"/>
        <w:spacing w:before="0"/>
        <w:ind w:right="0"/>
        <w:jc w:val="center"/>
        <w:rPr>
          <w:b/>
          <w:color w:val="auto"/>
          <w:sz w:val="84"/>
          <w:highlight w:val="none"/>
        </w:rPr>
      </w:pPr>
    </w:p>
    <w:p>
      <w:pPr>
        <w:pageBreakBefore w:val="0"/>
        <w:kinsoku/>
        <w:wordWrap w:val="0"/>
        <w:overflowPunct/>
        <w:topLinePunct w:val="0"/>
        <w:bidi w:val="0"/>
        <w:spacing w:before="0"/>
        <w:ind w:right="0"/>
        <w:jc w:val="center"/>
        <w:rPr>
          <w:b/>
          <w:color w:val="auto"/>
          <w:sz w:val="84"/>
          <w:highlight w:val="none"/>
        </w:rPr>
      </w:pPr>
      <w:r>
        <w:rPr>
          <w:b/>
          <w:color w:val="auto"/>
          <w:sz w:val="84"/>
          <w:highlight w:val="none"/>
        </w:rPr>
        <w:t>响 应 文 件</w:t>
      </w:r>
      <w:bookmarkStart w:id="207" w:name="_Toc31799"/>
    </w:p>
    <w:p>
      <w:pPr>
        <w:rPr>
          <w:rFonts w:hint="eastAsia"/>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562" w:firstLineChars="200"/>
        <w:jc w:val="left"/>
        <w:textAlignment w:val="auto"/>
        <w:outlineLvl w:val="9"/>
        <w:rPr>
          <w:rFonts w:hint="eastAsia" w:ascii="宋体" w:hAnsi="宋体" w:eastAsia="宋体" w:cs="宋体"/>
          <w:b/>
          <w:bCs w:val="0"/>
          <w:color w:val="auto"/>
          <w:sz w:val="28"/>
          <w:szCs w:val="28"/>
          <w:highlight w:val="none"/>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562" w:firstLineChars="200"/>
        <w:jc w:val="left"/>
        <w:textAlignment w:val="auto"/>
        <w:outlineLvl w:val="9"/>
        <w:rPr>
          <w:rFonts w:hint="eastAsia" w:ascii="宋体" w:hAnsi="宋体" w:eastAsia="宋体" w:cs="宋体"/>
          <w:b/>
          <w:bCs w:val="0"/>
          <w:color w:val="auto"/>
          <w:sz w:val="28"/>
          <w:szCs w:val="28"/>
          <w:highlight w:val="none"/>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562" w:firstLineChars="200"/>
        <w:jc w:val="left"/>
        <w:textAlignment w:val="auto"/>
        <w:outlineLvl w:val="9"/>
        <w:rPr>
          <w:rFonts w:hint="eastAsia" w:ascii="宋体" w:hAnsi="宋体" w:eastAsia="宋体" w:cs="宋体"/>
          <w:b/>
          <w:bCs w:val="0"/>
          <w:color w:val="auto"/>
          <w:sz w:val="28"/>
          <w:szCs w:val="28"/>
          <w:highlight w:val="none"/>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562" w:firstLineChars="200"/>
        <w:jc w:val="left"/>
        <w:textAlignment w:val="auto"/>
        <w:outlineLvl w:val="9"/>
        <w:rPr>
          <w:rFonts w:hint="eastAsia" w:ascii="宋体" w:hAnsi="宋体" w:eastAsia="宋体" w:cs="宋体"/>
          <w:b/>
          <w:bCs w:val="0"/>
          <w:color w:val="auto"/>
          <w:sz w:val="28"/>
          <w:szCs w:val="28"/>
          <w:highlight w:val="none"/>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562" w:firstLineChars="200"/>
        <w:jc w:val="left"/>
        <w:textAlignment w:val="auto"/>
        <w:outlineLvl w:val="9"/>
        <w:rPr>
          <w:rFonts w:hint="eastAsia" w:ascii="宋体" w:hAnsi="宋体" w:eastAsia="宋体" w:cs="宋体"/>
          <w:b/>
          <w:bCs w:val="0"/>
          <w:color w:val="auto"/>
          <w:sz w:val="28"/>
          <w:szCs w:val="28"/>
          <w:highlight w:val="none"/>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562" w:firstLineChars="200"/>
        <w:jc w:val="left"/>
        <w:textAlignment w:val="auto"/>
        <w:outlineLvl w:val="9"/>
        <w:rPr>
          <w:rFonts w:hint="eastAsia" w:ascii="宋体" w:hAnsi="宋体" w:eastAsia="宋体" w:cs="宋体"/>
          <w:b/>
          <w:bCs w:val="0"/>
          <w:color w:val="auto"/>
          <w:sz w:val="28"/>
          <w:szCs w:val="28"/>
          <w:highlight w:val="none"/>
        </w:rPr>
      </w:pPr>
    </w:p>
    <w:p>
      <w:pPr>
        <w:outlineLvl w:val="9"/>
        <w:rPr>
          <w:rFonts w:hint="eastAsia" w:ascii="宋体" w:hAnsi="宋体" w:eastAsia="宋体" w:cs="宋体"/>
          <w:b/>
          <w:bCs w:val="0"/>
          <w:color w:val="auto"/>
          <w:sz w:val="28"/>
          <w:szCs w:val="28"/>
          <w:highlight w:val="none"/>
        </w:rPr>
      </w:pPr>
    </w:p>
    <w:p>
      <w:pPr>
        <w:keepNext w:val="0"/>
        <w:keepLines w:val="0"/>
        <w:pageBreakBefore w:val="0"/>
        <w:widowControl w:val="0"/>
        <w:kinsoku/>
        <w:wordWrap w:val="0"/>
        <w:overflowPunct/>
        <w:topLinePunct w:val="0"/>
        <w:autoSpaceDE w:val="0"/>
        <w:autoSpaceDN w:val="0"/>
        <w:bidi w:val="0"/>
        <w:adjustRightInd/>
        <w:snapToGrid/>
        <w:spacing w:line="360" w:lineRule="auto"/>
        <w:jc w:val="left"/>
        <w:textAlignment w:val="auto"/>
        <w:outlineLvl w:val="9"/>
        <w:rPr>
          <w:rFonts w:hint="eastAsia" w:ascii="宋体" w:hAnsi="宋体" w:eastAsia="宋体" w:cs="宋体"/>
          <w:b/>
          <w:bCs w:val="0"/>
          <w:color w:val="auto"/>
          <w:sz w:val="28"/>
          <w:szCs w:val="28"/>
          <w:highlight w:val="none"/>
        </w:rPr>
      </w:pPr>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1405" w:firstLineChars="500"/>
        <w:jc w:val="left"/>
        <w:textAlignment w:val="auto"/>
        <w:outlineLvl w:val="9"/>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供应商：</w:t>
      </w:r>
      <w:r>
        <w:rPr>
          <w:rFonts w:hint="eastAsia" w:cs="宋体"/>
          <w:b/>
          <w:bCs w:val="0"/>
          <w:color w:val="auto"/>
          <w:sz w:val="28"/>
          <w:szCs w:val="28"/>
          <w:highlight w:val="none"/>
          <w:u w:val="single"/>
          <w:lang w:val="en-US" w:eastAsia="zh-CN"/>
        </w:rPr>
        <w:t xml:space="preserve">                         </w:t>
      </w:r>
      <w:r>
        <w:rPr>
          <w:rFonts w:hint="eastAsia" w:ascii="宋体" w:hAnsi="宋体" w:eastAsia="宋体" w:cs="宋体"/>
          <w:b/>
          <w:bCs w:val="0"/>
          <w:color w:val="auto"/>
          <w:sz w:val="28"/>
          <w:szCs w:val="28"/>
          <w:highlight w:val="none"/>
        </w:rPr>
        <w:t>（盖单位公章）</w:t>
      </w:r>
      <w:bookmarkEnd w:id="207"/>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1405" w:firstLineChars="500"/>
        <w:jc w:val="left"/>
        <w:textAlignment w:val="auto"/>
        <w:outlineLvl w:val="9"/>
        <w:rPr>
          <w:rFonts w:hint="eastAsia" w:ascii="宋体" w:hAnsi="宋体" w:eastAsia="宋体" w:cs="宋体"/>
          <w:b/>
          <w:bCs w:val="0"/>
          <w:color w:val="auto"/>
          <w:sz w:val="28"/>
          <w:szCs w:val="28"/>
          <w:highlight w:val="none"/>
        </w:rPr>
      </w:pPr>
      <w:bookmarkStart w:id="208" w:name="_Toc13488"/>
      <w:bookmarkStart w:id="209" w:name="_Toc24977"/>
      <w:r>
        <w:rPr>
          <w:rFonts w:hint="eastAsia" w:ascii="宋体" w:hAnsi="宋体" w:eastAsia="宋体" w:cs="宋体"/>
          <w:b/>
          <w:bCs w:val="0"/>
          <w:color w:val="auto"/>
          <w:sz w:val="28"/>
          <w:szCs w:val="28"/>
          <w:highlight w:val="none"/>
        </w:rPr>
        <w:t>法定代表人或其授权委托人：</w:t>
      </w:r>
      <w:r>
        <w:rPr>
          <w:rFonts w:hint="eastAsia" w:cs="宋体"/>
          <w:b/>
          <w:bCs w:val="0"/>
          <w:color w:val="auto"/>
          <w:sz w:val="28"/>
          <w:szCs w:val="28"/>
          <w:highlight w:val="none"/>
          <w:u w:val="single"/>
          <w:lang w:val="en-US" w:eastAsia="zh-CN"/>
        </w:rPr>
        <w:t xml:space="preserve">       （</w:t>
      </w:r>
      <w:r>
        <w:rPr>
          <w:rFonts w:hint="eastAsia" w:ascii="宋体" w:hAnsi="宋体" w:eastAsia="宋体" w:cs="宋体"/>
          <w:b/>
          <w:bCs w:val="0"/>
          <w:color w:val="auto"/>
          <w:sz w:val="28"/>
          <w:szCs w:val="28"/>
          <w:highlight w:val="none"/>
        </w:rPr>
        <w:t>签字或盖章）</w:t>
      </w:r>
      <w:bookmarkEnd w:id="208"/>
      <w:bookmarkEnd w:id="209"/>
    </w:p>
    <w:p>
      <w:pPr>
        <w:keepNext w:val="0"/>
        <w:keepLines w:val="0"/>
        <w:pageBreakBefore w:val="0"/>
        <w:widowControl w:val="0"/>
        <w:kinsoku/>
        <w:wordWrap w:val="0"/>
        <w:overflowPunct/>
        <w:topLinePunct w:val="0"/>
        <w:autoSpaceDE w:val="0"/>
        <w:autoSpaceDN w:val="0"/>
        <w:bidi w:val="0"/>
        <w:adjustRightInd/>
        <w:snapToGrid/>
        <w:spacing w:line="360" w:lineRule="auto"/>
        <w:ind w:left="0" w:leftChars="0" w:firstLine="2811" w:firstLineChars="1000"/>
        <w:jc w:val="left"/>
        <w:textAlignment w:val="auto"/>
        <w:outlineLvl w:val="9"/>
        <w:rPr>
          <w:rFonts w:hint="eastAsia" w:ascii="宋体" w:hAnsi="宋体" w:eastAsia="宋体" w:cs="宋体"/>
          <w:b/>
          <w:bCs w:val="0"/>
          <w:color w:val="auto"/>
          <w:sz w:val="28"/>
          <w:szCs w:val="28"/>
          <w:highlight w:val="none"/>
        </w:rPr>
      </w:pPr>
      <w:bookmarkStart w:id="210" w:name="_Toc12325"/>
      <w:r>
        <w:rPr>
          <w:rFonts w:hint="eastAsia" w:ascii="宋体" w:hAnsi="宋体" w:eastAsia="宋体" w:cs="宋体"/>
          <w:b/>
          <w:bCs w:val="0"/>
          <w:color w:val="auto"/>
          <w:sz w:val="28"/>
          <w:szCs w:val="28"/>
          <w:highlight w:val="none"/>
          <w:u w:val="single"/>
          <w:lang w:val="en-US" w:eastAsia="zh-CN"/>
        </w:rPr>
        <w:t xml:space="preserve">       </w:t>
      </w:r>
      <w:r>
        <w:rPr>
          <w:rFonts w:hint="eastAsia" w:ascii="宋体" w:hAnsi="宋体" w:eastAsia="宋体" w:cs="宋体"/>
          <w:b/>
          <w:bCs w:val="0"/>
          <w:color w:val="auto"/>
          <w:sz w:val="28"/>
          <w:szCs w:val="28"/>
          <w:highlight w:val="none"/>
        </w:rPr>
        <w:t>年</w:t>
      </w:r>
      <w:r>
        <w:rPr>
          <w:rFonts w:hint="eastAsia" w:ascii="宋体" w:hAnsi="宋体" w:eastAsia="宋体" w:cs="宋体"/>
          <w:b/>
          <w:bCs w:val="0"/>
          <w:color w:val="auto"/>
          <w:sz w:val="28"/>
          <w:szCs w:val="28"/>
          <w:highlight w:val="none"/>
          <w:u w:val="single"/>
          <w:lang w:val="en-US" w:eastAsia="zh-CN"/>
        </w:rPr>
        <w:t xml:space="preserve">       </w:t>
      </w:r>
      <w:r>
        <w:rPr>
          <w:rFonts w:hint="eastAsia" w:ascii="宋体" w:hAnsi="宋体" w:eastAsia="宋体" w:cs="宋体"/>
          <w:b/>
          <w:bCs w:val="0"/>
          <w:color w:val="auto"/>
          <w:sz w:val="28"/>
          <w:szCs w:val="28"/>
          <w:highlight w:val="none"/>
        </w:rPr>
        <w:t>月</w:t>
      </w:r>
      <w:r>
        <w:rPr>
          <w:rFonts w:hint="eastAsia" w:ascii="宋体" w:hAnsi="宋体" w:eastAsia="宋体" w:cs="宋体"/>
          <w:b/>
          <w:bCs w:val="0"/>
          <w:color w:val="auto"/>
          <w:sz w:val="28"/>
          <w:szCs w:val="28"/>
          <w:highlight w:val="none"/>
          <w:u w:val="single"/>
          <w:lang w:val="en-US" w:eastAsia="zh-CN"/>
        </w:rPr>
        <w:t xml:space="preserve">       </w:t>
      </w:r>
      <w:r>
        <w:rPr>
          <w:rFonts w:hint="eastAsia" w:ascii="宋体" w:hAnsi="宋体" w:eastAsia="宋体" w:cs="宋体"/>
          <w:b/>
          <w:bCs w:val="0"/>
          <w:color w:val="auto"/>
          <w:sz w:val="28"/>
          <w:szCs w:val="28"/>
          <w:highlight w:val="none"/>
        </w:rPr>
        <w:t>日</w:t>
      </w:r>
      <w:bookmarkEnd w:id="210"/>
    </w:p>
    <w:p>
      <w:pPr>
        <w:pageBreakBefore w:val="0"/>
        <w:kinsoku/>
        <w:wordWrap w:val="0"/>
        <w:overflowPunct/>
        <w:topLinePunct w:val="0"/>
        <w:bidi w:val="0"/>
        <w:ind w:firstLine="500" w:firstLineChars="200"/>
        <w:rPr>
          <w:color w:val="auto"/>
          <w:sz w:val="25"/>
          <w:highlight w:val="none"/>
        </w:rPr>
      </w:pPr>
      <w:r>
        <w:rPr>
          <w:color w:val="auto"/>
          <w:sz w:val="25"/>
          <w:highlight w:val="none"/>
        </w:rPr>
        <w:br w:type="page"/>
      </w:r>
    </w:p>
    <w:p>
      <w:pPr>
        <w:pageBreakBefore w:val="0"/>
        <w:tabs>
          <w:tab w:val="left" w:pos="631"/>
        </w:tabs>
        <w:kinsoku/>
        <w:wordWrap w:val="0"/>
        <w:overflowPunct/>
        <w:topLinePunct w:val="0"/>
        <w:bidi w:val="0"/>
        <w:spacing w:before="69"/>
        <w:ind w:right="75" w:firstLine="562" w:firstLineChars="200"/>
        <w:jc w:val="center"/>
        <w:rPr>
          <w:rFonts w:asciiTheme="minorEastAsia" w:hAnsiTheme="minorEastAsia" w:eastAsiaTheme="minorEastAsia" w:cstheme="minorEastAsia"/>
          <w:b/>
          <w:bCs/>
          <w:color w:val="auto"/>
          <w:sz w:val="28"/>
          <w:szCs w:val="28"/>
          <w:highlight w:val="none"/>
        </w:rPr>
      </w:pPr>
      <w:bookmarkStart w:id="211" w:name="目    录"/>
      <w:bookmarkEnd w:id="211"/>
      <w:bookmarkStart w:id="212" w:name="_Toc3950_WPSOffice_Level2"/>
      <w:r>
        <w:rPr>
          <w:rFonts w:hint="eastAsia" w:asciiTheme="minorEastAsia" w:hAnsiTheme="minorEastAsia" w:eastAsiaTheme="minorEastAsia" w:cstheme="minorEastAsia"/>
          <w:b/>
          <w:bCs/>
          <w:color w:val="auto"/>
          <w:sz w:val="28"/>
          <w:szCs w:val="28"/>
          <w:highlight w:val="none"/>
        </w:rPr>
        <w:t>目</w:t>
      </w:r>
      <w:r>
        <w:rPr>
          <w:rFonts w:hint="eastAsia" w:asciiTheme="minorEastAsia" w:hAnsiTheme="minorEastAsia" w:eastAsiaTheme="minorEastAsia" w:cstheme="minorEastAsia"/>
          <w:b/>
          <w:bCs/>
          <w:color w:val="auto"/>
          <w:sz w:val="28"/>
          <w:szCs w:val="28"/>
          <w:highlight w:val="none"/>
          <w:lang w:val="en-US"/>
        </w:rPr>
        <w:t xml:space="preserve">  </w:t>
      </w:r>
      <w:r>
        <w:rPr>
          <w:rFonts w:hint="eastAsia" w:asciiTheme="minorEastAsia" w:hAnsiTheme="minorEastAsia" w:eastAsiaTheme="minorEastAsia" w:cstheme="minorEastAsia"/>
          <w:b/>
          <w:bCs/>
          <w:color w:val="auto"/>
          <w:sz w:val="28"/>
          <w:szCs w:val="28"/>
          <w:highlight w:val="none"/>
        </w:rPr>
        <w:t>录</w:t>
      </w:r>
      <w:bookmarkEnd w:id="212"/>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1、</w:t>
      </w:r>
      <w:r>
        <w:rPr>
          <w:rFonts w:hint="eastAsia" w:ascii="宋体" w:hAnsi="宋体" w:cs="宋体"/>
          <w:color w:val="auto"/>
          <w:sz w:val="21"/>
          <w:szCs w:val="16"/>
          <w:highlight w:val="none"/>
          <w:lang w:val="en-US" w:eastAsia="zh-CN"/>
        </w:rPr>
        <w:t>磋商</w:t>
      </w:r>
      <w:r>
        <w:rPr>
          <w:rFonts w:hint="eastAsia" w:ascii="宋体" w:hAnsi="宋体" w:cs="宋体"/>
          <w:color w:val="auto"/>
          <w:sz w:val="21"/>
          <w:szCs w:val="16"/>
          <w:highlight w:val="none"/>
        </w:rPr>
        <w:t>函</w:t>
      </w:r>
    </w:p>
    <w:p>
      <w:pPr>
        <w:pStyle w:val="51"/>
        <w:pageBreakBefore w:val="0"/>
        <w:kinsoku/>
        <w:wordWrap w:val="0"/>
        <w:overflowPunct/>
        <w:topLinePunct w:val="0"/>
        <w:bidi w:val="0"/>
        <w:spacing w:line="480" w:lineRule="auto"/>
        <w:ind w:firstLine="420"/>
        <w:rPr>
          <w:rFonts w:ascii="宋体" w:hAnsi="宋体" w:cs="宋体"/>
          <w:color w:val="auto"/>
          <w:sz w:val="21"/>
          <w:szCs w:val="16"/>
          <w:highlight w:val="none"/>
        </w:rPr>
      </w:pPr>
      <w:r>
        <w:rPr>
          <w:rFonts w:hint="eastAsia" w:ascii="宋体" w:hAnsi="宋体" w:cs="宋体"/>
          <w:color w:val="auto"/>
          <w:sz w:val="21"/>
          <w:szCs w:val="16"/>
          <w:highlight w:val="none"/>
        </w:rPr>
        <w:t>2、</w:t>
      </w:r>
      <w:r>
        <w:rPr>
          <w:rFonts w:hint="eastAsia" w:ascii="宋体" w:hAnsi="宋体" w:cs="宋体"/>
          <w:color w:val="auto"/>
          <w:sz w:val="21"/>
          <w:szCs w:val="16"/>
          <w:highlight w:val="none"/>
          <w:lang w:val="en-US" w:eastAsia="zh-CN"/>
        </w:rPr>
        <w:t>磋商</w:t>
      </w:r>
      <w:r>
        <w:rPr>
          <w:rFonts w:hint="eastAsia" w:ascii="宋体" w:hAnsi="宋体" w:cs="宋体"/>
          <w:color w:val="auto"/>
          <w:sz w:val="21"/>
          <w:szCs w:val="16"/>
          <w:highlight w:val="none"/>
        </w:rPr>
        <w:t>一览表</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3、投标报价表</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4、备件专用工具价格表</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5、资格声明函</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6、</w:t>
      </w:r>
      <w:r>
        <w:rPr>
          <w:rFonts w:hint="eastAsia" w:ascii="宋体" w:hAnsi="宋体" w:cs="宋体"/>
          <w:color w:val="auto"/>
          <w:sz w:val="21"/>
          <w:szCs w:val="16"/>
          <w:highlight w:val="none"/>
          <w:lang w:val="en-US" w:eastAsia="zh-CN"/>
        </w:rPr>
        <w:t>磋商</w:t>
      </w:r>
      <w:r>
        <w:rPr>
          <w:rFonts w:hint="eastAsia" w:ascii="宋体" w:hAnsi="宋体" w:cs="宋体"/>
          <w:color w:val="auto"/>
          <w:sz w:val="21"/>
          <w:szCs w:val="16"/>
          <w:highlight w:val="none"/>
        </w:rPr>
        <w:t>承诺函</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7、主要货物规格一览表</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8、技术规格偏差表</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9、反商业贿赂承诺书</w:t>
      </w:r>
    </w:p>
    <w:p>
      <w:pPr>
        <w:pStyle w:val="51"/>
        <w:pageBreakBefore w:val="0"/>
        <w:kinsoku/>
        <w:wordWrap w:val="0"/>
        <w:overflowPunct/>
        <w:topLinePunct w:val="0"/>
        <w:bidi w:val="0"/>
        <w:spacing w:line="480" w:lineRule="auto"/>
        <w:ind w:firstLine="420"/>
        <w:rPr>
          <w:rFonts w:ascii="宋体" w:hAnsi="宋体" w:cs="宋体"/>
          <w:color w:val="auto"/>
          <w:sz w:val="21"/>
          <w:szCs w:val="16"/>
          <w:highlight w:val="none"/>
        </w:rPr>
      </w:pPr>
      <w:r>
        <w:rPr>
          <w:rFonts w:hint="eastAsia" w:ascii="宋体" w:hAnsi="宋体" w:cs="宋体"/>
          <w:color w:val="auto"/>
          <w:sz w:val="21"/>
          <w:szCs w:val="16"/>
          <w:highlight w:val="none"/>
        </w:rPr>
        <w:t>10、保修期满后易损部件、配件报价表</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11、产品性能</w:t>
      </w:r>
      <w:r>
        <w:rPr>
          <w:rFonts w:hint="eastAsia" w:ascii="宋体" w:hAnsi="宋体" w:cs="宋体"/>
          <w:color w:val="auto"/>
          <w:sz w:val="21"/>
          <w:szCs w:val="16"/>
          <w:highlight w:val="none"/>
          <w:lang w:eastAsia="zh-CN"/>
        </w:rPr>
        <w:t>、</w:t>
      </w:r>
      <w:r>
        <w:rPr>
          <w:rFonts w:hint="eastAsia" w:ascii="宋体" w:hAnsi="宋体" w:cs="宋体"/>
          <w:color w:val="auto"/>
          <w:sz w:val="21"/>
          <w:szCs w:val="16"/>
          <w:highlight w:val="none"/>
        </w:rPr>
        <w:t>供货安排及人员培训方案</w:t>
      </w:r>
    </w:p>
    <w:p>
      <w:pPr>
        <w:pStyle w:val="51"/>
        <w:pageBreakBefore w:val="0"/>
        <w:kinsoku/>
        <w:wordWrap w:val="0"/>
        <w:overflowPunct/>
        <w:topLinePunct w:val="0"/>
        <w:bidi w:val="0"/>
        <w:spacing w:line="480" w:lineRule="auto"/>
        <w:ind w:firstLine="420"/>
        <w:rPr>
          <w:rFonts w:ascii="宋体" w:hAnsi="宋体" w:cs="宋体"/>
          <w:color w:val="auto"/>
          <w:sz w:val="21"/>
          <w:szCs w:val="16"/>
          <w:highlight w:val="none"/>
        </w:rPr>
      </w:pPr>
      <w:r>
        <w:rPr>
          <w:rFonts w:hint="eastAsia" w:ascii="宋体" w:hAnsi="宋体" w:cs="宋体"/>
          <w:color w:val="auto"/>
          <w:sz w:val="21"/>
          <w:szCs w:val="16"/>
          <w:highlight w:val="none"/>
        </w:rPr>
        <w:t>12、售后服务计划及优惠承诺</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ascii="宋体" w:hAnsi="宋体" w:cs="宋体"/>
          <w:color w:val="auto"/>
          <w:sz w:val="21"/>
          <w:szCs w:val="16"/>
          <w:highlight w:val="none"/>
        </w:rPr>
        <w:t>13</w:t>
      </w:r>
      <w:r>
        <w:rPr>
          <w:rFonts w:hint="eastAsia" w:ascii="宋体" w:hAnsi="宋体" w:cs="宋体"/>
          <w:color w:val="auto"/>
          <w:sz w:val="21"/>
          <w:szCs w:val="16"/>
          <w:highlight w:val="none"/>
        </w:rPr>
        <w:t>、供应商认为有必要提供的其他资料</w:t>
      </w:r>
    </w:p>
    <w:p>
      <w:pPr>
        <w:pStyle w:val="51"/>
        <w:pageBreakBefore w:val="0"/>
        <w:kinsoku/>
        <w:wordWrap w:val="0"/>
        <w:overflowPunct/>
        <w:topLinePunct w:val="0"/>
        <w:bidi w:val="0"/>
        <w:spacing w:line="480" w:lineRule="auto"/>
        <w:ind w:firstLine="420"/>
        <w:rPr>
          <w:rFonts w:hint="eastAsia" w:ascii="宋体" w:hAnsi="宋体" w:cs="宋体"/>
          <w:color w:val="auto"/>
          <w:sz w:val="21"/>
          <w:szCs w:val="16"/>
          <w:highlight w:val="none"/>
        </w:rPr>
      </w:pPr>
      <w:r>
        <w:rPr>
          <w:rFonts w:hint="eastAsia" w:ascii="宋体" w:hAnsi="宋体" w:cs="宋体"/>
          <w:color w:val="auto"/>
          <w:sz w:val="21"/>
          <w:szCs w:val="16"/>
          <w:highlight w:val="none"/>
        </w:rPr>
        <w:t>1</w:t>
      </w:r>
      <w:r>
        <w:rPr>
          <w:rFonts w:ascii="宋体" w:hAnsi="宋体" w:cs="宋体"/>
          <w:color w:val="auto"/>
          <w:sz w:val="21"/>
          <w:szCs w:val="16"/>
          <w:highlight w:val="none"/>
        </w:rPr>
        <w:t>4</w:t>
      </w:r>
      <w:r>
        <w:rPr>
          <w:rFonts w:hint="eastAsia" w:ascii="宋体" w:hAnsi="宋体" w:cs="宋体"/>
          <w:color w:val="auto"/>
          <w:sz w:val="21"/>
          <w:szCs w:val="16"/>
          <w:highlight w:val="none"/>
        </w:rPr>
        <w:t>、中小企业声明函</w:t>
      </w:r>
    </w:p>
    <w:p>
      <w:pPr>
        <w:pageBreakBefore w:val="0"/>
        <w:kinsoku/>
        <w:wordWrap w:val="0"/>
        <w:overflowPunct/>
        <w:topLinePunct w:val="0"/>
        <w:bidi w:val="0"/>
        <w:rPr>
          <w:rFonts w:ascii="宋体" w:hAnsi="宋体" w:cs="宋体"/>
          <w:b/>
          <w:bCs/>
          <w:color w:val="auto"/>
          <w:sz w:val="24"/>
          <w:highlight w:val="none"/>
        </w:rPr>
      </w:pPr>
    </w:p>
    <w:p>
      <w:pPr>
        <w:pStyle w:val="51"/>
        <w:pageBreakBefore w:val="0"/>
        <w:kinsoku/>
        <w:wordWrap w:val="0"/>
        <w:overflowPunct/>
        <w:topLinePunct w:val="0"/>
        <w:bidi w:val="0"/>
        <w:ind w:firstLine="422"/>
        <w:jc w:val="center"/>
        <w:rPr>
          <w:rFonts w:hint="eastAsia" w:ascii="宋体" w:hAnsi="宋体" w:cs="宋体"/>
          <w:b/>
          <w:bCs/>
          <w:color w:val="auto"/>
          <w:sz w:val="21"/>
          <w:szCs w:val="16"/>
          <w:highlight w:val="none"/>
        </w:rPr>
      </w:pPr>
      <w:r>
        <w:rPr>
          <w:rFonts w:hint="eastAsia" w:ascii="宋体" w:hAnsi="宋体" w:cs="宋体"/>
          <w:b/>
          <w:bCs/>
          <w:color w:val="auto"/>
          <w:sz w:val="21"/>
          <w:szCs w:val="16"/>
          <w:highlight w:val="none"/>
        </w:rPr>
        <w:t>（页码自行编写）</w:t>
      </w:r>
    </w:p>
    <w:p>
      <w:pPr>
        <w:pageBreakBefore w:val="0"/>
        <w:kinsoku/>
        <w:wordWrap w:val="0"/>
        <w:overflowPunct/>
        <w:topLinePunct w:val="0"/>
        <w:bidi w:val="0"/>
        <w:ind w:firstLine="400" w:firstLineChars="200"/>
        <w:rPr>
          <w:rFonts w:asciiTheme="minorEastAsia" w:hAnsiTheme="minorEastAsia" w:eastAsiaTheme="minorEastAsia" w:cstheme="minorEastAsia"/>
          <w:color w:val="auto"/>
          <w:sz w:val="20"/>
          <w:highlight w:val="none"/>
        </w:rPr>
      </w:pPr>
      <w:r>
        <w:rPr>
          <w:rFonts w:asciiTheme="minorEastAsia" w:hAnsiTheme="minorEastAsia" w:eastAsiaTheme="minorEastAsia" w:cstheme="minorEastAsia"/>
          <w:color w:val="auto"/>
          <w:sz w:val="20"/>
          <w:highlight w:val="none"/>
        </w:rPr>
        <w:br w:type="page"/>
      </w:r>
    </w:p>
    <w:p>
      <w:pPr>
        <w:pStyle w:val="4"/>
        <w:pageBreakBefore w:val="0"/>
        <w:kinsoku/>
        <w:wordWrap w:val="0"/>
        <w:overflowPunct/>
        <w:topLinePunct w:val="0"/>
        <w:bidi w:val="0"/>
        <w:spacing w:after="3"/>
        <w:ind w:left="0" w:leftChars="0" w:firstLine="0" w:firstLineChars="0"/>
        <w:jc w:val="center"/>
        <w:outlineLvl w:val="1"/>
        <w:rPr>
          <w:rFonts w:hint="eastAsia" w:asciiTheme="minorEastAsia" w:hAnsiTheme="minorEastAsia" w:eastAsiaTheme="minorEastAsia" w:cstheme="minorEastAsia"/>
          <w:b/>
          <w:bCs/>
          <w:color w:val="auto"/>
          <w:sz w:val="28"/>
          <w:szCs w:val="28"/>
          <w:highlight w:val="none"/>
          <w:lang w:val="en-US"/>
        </w:rPr>
      </w:pPr>
      <w:bookmarkStart w:id="213" w:name="_bookmark12"/>
      <w:bookmarkEnd w:id="213"/>
      <w:bookmarkStart w:id="214" w:name="一、法定代表人身份证明书"/>
      <w:bookmarkEnd w:id="214"/>
      <w:bookmarkStart w:id="215" w:name="_Toc26474"/>
      <w:bookmarkStart w:id="216" w:name="_Toc9951"/>
      <w:bookmarkStart w:id="217" w:name="_Toc26195"/>
      <w:bookmarkStart w:id="218" w:name="_Toc32271"/>
      <w:bookmarkStart w:id="219" w:name="_Toc19248"/>
      <w:bookmarkStart w:id="220" w:name="_Toc10579"/>
      <w:bookmarkStart w:id="221" w:name="_Toc30341"/>
      <w:bookmarkStart w:id="222" w:name="_Toc14896_WPSOffice_Level2"/>
      <w:bookmarkStart w:id="223" w:name="_Toc2174"/>
      <w:bookmarkStart w:id="224" w:name="_Toc29725"/>
      <w:bookmarkStart w:id="225" w:name="_Toc1322"/>
      <w:bookmarkStart w:id="226" w:name="_Toc171"/>
      <w:bookmarkStart w:id="227" w:name="_Toc1671"/>
      <w:bookmarkStart w:id="228" w:name="_Toc11102"/>
      <w:bookmarkStart w:id="229" w:name="_Toc27190"/>
      <w:bookmarkStart w:id="230" w:name="_Toc16837"/>
      <w:bookmarkStart w:id="231" w:name="_Toc18211"/>
      <w:bookmarkStart w:id="232" w:name="_Toc9311"/>
      <w:bookmarkStart w:id="233" w:name="_Toc14829"/>
      <w:bookmarkStart w:id="234" w:name="_Toc29112"/>
      <w:bookmarkStart w:id="235" w:name="_Toc10741"/>
      <w:bookmarkStart w:id="236" w:name="_Toc28621"/>
      <w:bookmarkStart w:id="237" w:name="_Toc18006"/>
      <w:bookmarkStart w:id="238" w:name="_Toc10511_WPSOffice_Level2"/>
      <w:bookmarkStart w:id="239" w:name="_Toc14383"/>
      <w:r>
        <w:rPr>
          <w:rFonts w:hint="eastAsia" w:asciiTheme="minorEastAsia" w:hAnsiTheme="minorEastAsia" w:eastAsiaTheme="minorEastAsia" w:cstheme="minorEastAsia"/>
          <w:b/>
          <w:bCs/>
          <w:color w:val="auto"/>
          <w:sz w:val="28"/>
          <w:szCs w:val="28"/>
          <w:highlight w:val="none"/>
          <w:lang w:val="en-US" w:eastAsia="zh-CN"/>
        </w:rPr>
        <w:t>1.</w:t>
      </w:r>
      <w:r>
        <w:rPr>
          <w:rFonts w:hint="eastAsia" w:asciiTheme="minorEastAsia" w:hAnsiTheme="minorEastAsia" w:eastAsiaTheme="minorEastAsia" w:cstheme="minorEastAsia"/>
          <w:b/>
          <w:bCs/>
          <w:color w:val="auto"/>
          <w:sz w:val="28"/>
          <w:szCs w:val="28"/>
          <w:highlight w:val="none"/>
          <w:lang w:val="en-US"/>
        </w:rPr>
        <w:t>磋商函</w:t>
      </w:r>
      <w:bookmarkEnd w:id="215"/>
      <w:bookmarkEnd w:id="216"/>
      <w:bookmarkEnd w:id="217"/>
      <w:bookmarkEnd w:id="218"/>
      <w:bookmarkEnd w:id="219"/>
      <w:bookmarkEnd w:id="220"/>
      <w:bookmarkEnd w:id="221"/>
      <w:bookmarkEnd w:id="222"/>
      <w:bookmarkEnd w:id="223"/>
      <w:bookmarkEnd w:id="224"/>
      <w:bookmarkEnd w:id="225"/>
      <w:bookmarkEnd w:id="226"/>
      <w:bookmarkEnd w:id="227"/>
    </w:p>
    <w:p>
      <w:pPr>
        <w:pStyle w:val="8"/>
        <w:pageBreakBefore w:val="0"/>
        <w:tabs>
          <w:tab w:val="left" w:pos="4194"/>
          <w:tab w:val="left" w:pos="6162"/>
          <w:tab w:val="left" w:pos="6260"/>
        </w:tabs>
        <w:kinsoku/>
        <w:wordWrap w:val="0"/>
        <w:overflowPunct/>
        <w:topLinePunct w:val="0"/>
        <w:bidi w:val="0"/>
        <w:spacing w:line="360" w:lineRule="auto"/>
        <w:rPr>
          <w:rFonts w:hint="eastAsia" w:asciiTheme="minorEastAsia" w:hAnsiTheme="minorEastAsia" w:eastAsiaTheme="minorEastAsia" w:cstheme="minorEastAsia"/>
          <w:color w:val="auto"/>
          <w:sz w:val="24"/>
          <w:szCs w:val="24"/>
          <w:highlight w:val="none"/>
        </w:rPr>
      </w:pPr>
    </w:p>
    <w:p>
      <w:pPr>
        <w:pStyle w:val="8"/>
        <w:pageBreakBefore w:val="0"/>
        <w:tabs>
          <w:tab w:val="left" w:pos="4194"/>
          <w:tab w:val="left" w:pos="6162"/>
          <w:tab w:val="left" w:pos="6260"/>
        </w:tabs>
        <w:kinsoku/>
        <w:wordWrap w:val="0"/>
        <w:overflowPunct/>
        <w:topLinePunct w:val="0"/>
        <w:bidi w:val="0"/>
        <w:spacing w:line="360" w:lineRule="auto"/>
        <w:rPr>
          <w:rFonts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rPr>
        <w:t>（采购人名称）</w:t>
      </w:r>
      <w:r>
        <w:rPr>
          <w:rFonts w:hint="eastAsia" w:asciiTheme="minorEastAsia" w:hAnsiTheme="minorEastAsia" w:eastAsiaTheme="minorEastAsia" w:cstheme="minorEastAsia"/>
          <w:color w:val="auto"/>
          <w:sz w:val="24"/>
          <w:szCs w:val="24"/>
          <w:highlight w:val="none"/>
          <w:u w:val="single"/>
          <w:lang w:val="en-US"/>
        </w:rPr>
        <w:t xml:space="preserve">  </w:t>
      </w:r>
    </w:p>
    <w:p>
      <w:pPr>
        <w:pStyle w:val="8"/>
        <w:pageBreakBefore w:val="0"/>
        <w:tabs>
          <w:tab w:val="left" w:pos="4194"/>
          <w:tab w:val="left" w:pos="6162"/>
          <w:tab w:val="left" w:pos="6260"/>
        </w:tabs>
        <w:kinsoku/>
        <w:wordWrap w:val="0"/>
        <w:overflowPunct/>
        <w:topLinePunct w:val="0"/>
        <w:bidi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w:t>
      </w:r>
      <w:r>
        <w:rPr>
          <w:rFonts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rPr>
        <w:t>根据你方采购项目编号为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pacing w:val="-32"/>
          <w:sz w:val="24"/>
          <w:szCs w:val="24"/>
          <w:highlight w:val="none"/>
        </w:rPr>
        <w:t>）</w:t>
      </w:r>
      <w:r>
        <w:rPr>
          <w:rFonts w:hint="eastAsia" w:asciiTheme="minorEastAsia" w:hAnsiTheme="minorEastAsia" w:eastAsiaTheme="minorEastAsia" w:cstheme="minorEastAsia"/>
          <w:color w:val="auto"/>
          <w:sz w:val="24"/>
          <w:szCs w:val="24"/>
          <w:highlight w:val="none"/>
        </w:rPr>
        <w:t>磋商文件</w:t>
      </w:r>
      <w:r>
        <w:rPr>
          <w:rFonts w:hint="eastAsia" w:asciiTheme="minorEastAsia" w:hAnsiTheme="minorEastAsia" w:eastAsiaTheme="minorEastAsia" w:cstheme="minorEastAsia"/>
          <w:color w:val="auto"/>
          <w:spacing w:val="-32"/>
          <w:sz w:val="24"/>
          <w:szCs w:val="24"/>
          <w:highlight w:val="none"/>
        </w:rPr>
        <w:t>，</w:t>
      </w:r>
      <w:r>
        <w:rPr>
          <w:rFonts w:hint="eastAsia" w:asciiTheme="minorEastAsia" w:hAnsiTheme="minorEastAsia" w:eastAsiaTheme="minorEastAsia" w:cstheme="minorEastAsia"/>
          <w:color w:val="auto"/>
          <w:sz w:val="24"/>
          <w:szCs w:val="24"/>
          <w:highlight w:val="none"/>
        </w:rPr>
        <w:t>参</w:t>
      </w:r>
      <w:r>
        <w:rPr>
          <w:rFonts w:hint="eastAsia" w:asciiTheme="minorEastAsia" w:hAnsiTheme="minorEastAsia" w:eastAsiaTheme="minorEastAsia" w:cstheme="minorEastAsia"/>
          <w:color w:val="auto"/>
          <w:spacing w:val="-34"/>
          <w:sz w:val="24"/>
          <w:szCs w:val="24"/>
          <w:highlight w:val="none"/>
        </w:rPr>
        <w:t>照</w:t>
      </w:r>
      <w:r>
        <w:rPr>
          <w:rFonts w:hint="eastAsia" w:asciiTheme="minorEastAsia" w:hAnsiTheme="minorEastAsia" w:eastAsiaTheme="minorEastAsia" w:cstheme="minorEastAsia"/>
          <w:color w:val="auto"/>
          <w:sz w:val="24"/>
          <w:szCs w:val="24"/>
          <w:highlight w:val="none"/>
        </w:rPr>
        <w:t>《中华人民共和国政府采购法》等有关规定，我方第一次愿以</w:t>
      </w:r>
      <w:r>
        <w:rPr>
          <w:rFonts w:hint="eastAsia" w:asciiTheme="minorEastAsia" w:hAnsiTheme="minorEastAsia" w:eastAsiaTheme="minorEastAsia" w:cstheme="minorEastAsia"/>
          <w:color w:val="auto"/>
          <w:sz w:val="24"/>
          <w:szCs w:val="24"/>
          <w:highlight w:val="none"/>
          <w:lang w:val="en-US"/>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（小写：¥</w:t>
      </w:r>
      <w:r>
        <w:rPr>
          <w:rFonts w:hint="eastAsia" w:ascii="宋体" w:hAnsi="宋体" w:cs="宋体"/>
          <w:color w:val="auto"/>
          <w:sz w:val="24"/>
          <w:highlight w:val="none"/>
          <w:u w:val="single"/>
        </w:rPr>
        <w:t xml:space="preserve">       元</w:t>
      </w:r>
      <w:r>
        <w:rPr>
          <w:rFonts w:hint="eastAsia" w:ascii="宋体" w:hAnsi="宋体" w:cs="宋体"/>
          <w:color w:val="auto"/>
          <w:sz w:val="24"/>
          <w:highlight w:val="none"/>
        </w:rPr>
        <w:t>）</w:t>
      </w:r>
      <w:r>
        <w:rPr>
          <w:rFonts w:hint="eastAsia" w:asciiTheme="minorEastAsia" w:hAnsiTheme="minorEastAsia" w:eastAsiaTheme="minorEastAsia" w:cstheme="minorEastAsia"/>
          <w:color w:val="auto"/>
          <w:sz w:val="24"/>
          <w:szCs w:val="24"/>
          <w:highlight w:val="none"/>
        </w:rPr>
        <w:t>磋商报价并按采购项目要求。</w:t>
      </w:r>
    </w:p>
    <w:p>
      <w:pPr>
        <w:pStyle w:val="8"/>
        <w:pageBreakBefore w:val="0"/>
        <w:tabs>
          <w:tab w:val="left" w:pos="4194"/>
          <w:tab w:val="left" w:pos="6162"/>
          <w:tab w:val="left" w:pos="6260"/>
        </w:tabs>
        <w:kinsoku/>
        <w:wordWrap w:val="0"/>
        <w:overflowPunct/>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二.我方已详细审核全部磋商文件，包括修改文件（如有时）及有关附件。</w:t>
      </w:r>
    </w:p>
    <w:p>
      <w:pPr>
        <w:pStyle w:val="8"/>
        <w:pageBreakBefore w:val="0"/>
        <w:tabs>
          <w:tab w:val="left" w:pos="4194"/>
          <w:tab w:val="left" w:pos="6162"/>
          <w:tab w:val="left" w:pos="6260"/>
        </w:tabs>
        <w:kinsoku/>
        <w:wordWrap w:val="0"/>
        <w:overflowPunct/>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bookmarkStart w:id="240" w:name="_Toc25960"/>
      <w:bookmarkStart w:id="241" w:name="_Toc30446"/>
      <w:bookmarkStart w:id="242" w:name="_Toc19287"/>
      <w:r>
        <w:rPr>
          <w:rFonts w:hint="eastAsia" w:asciiTheme="minorEastAsia" w:hAnsiTheme="minorEastAsia" w:eastAsiaTheme="minorEastAsia" w:cstheme="minorEastAsia"/>
          <w:color w:val="auto"/>
          <w:sz w:val="24"/>
          <w:szCs w:val="24"/>
          <w:highlight w:val="none"/>
        </w:rPr>
        <w:t>三.我方承认磋商函附录是我方磋商合同的组成部分。</w:t>
      </w:r>
      <w:bookmarkEnd w:id="240"/>
      <w:bookmarkEnd w:id="241"/>
      <w:bookmarkEnd w:id="242"/>
    </w:p>
    <w:p>
      <w:pPr>
        <w:pStyle w:val="8"/>
        <w:pageBreakBefore w:val="0"/>
        <w:tabs>
          <w:tab w:val="left" w:pos="4194"/>
          <w:tab w:val="left" w:pos="6162"/>
          <w:tab w:val="left" w:pos="6260"/>
        </w:tabs>
        <w:kinsoku/>
        <w:wordWrap w:val="0"/>
        <w:overflowPunct/>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四.一旦我方成交，我方保证按合同协议书中规定的合同履行期内完成全部项目。</w:t>
      </w:r>
    </w:p>
    <w:p>
      <w:pPr>
        <w:pStyle w:val="8"/>
        <w:pageBreakBefore w:val="0"/>
        <w:tabs>
          <w:tab w:val="left" w:pos="4194"/>
          <w:tab w:val="left" w:pos="6162"/>
          <w:tab w:val="left" w:pos="6260"/>
        </w:tabs>
        <w:kinsoku/>
        <w:wordWrap w:val="0"/>
        <w:overflowPunct/>
        <w:topLinePunct w:val="0"/>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五.我方同意所提交的磋商响应文件在“</w:t>
      </w:r>
      <w:r>
        <w:rPr>
          <w:rFonts w:hint="eastAsia" w:asciiTheme="minorEastAsia" w:hAnsiTheme="minorEastAsia" w:eastAsiaTheme="minorEastAsia" w:cstheme="minorEastAsia"/>
          <w:color w:val="auto"/>
          <w:sz w:val="24"/>
          <w:szCs w:val="24"/>
          <w:highlight w:val="none"/>
          <w:lang w:eastAsia="zh-CN"/>
        </w:rPr>
        <w:t>供应商须知前附表及</w:t>
      </w:r>
      <w:r>
        <w:rPr>
          <w:rFonts w:hint="eastAsia" w:asciiTheme="minorEastAsia" w:hAnsiTheme="minorEastAsia" w:eastAsiaTheme="minorEastAsia" w:cstheme="minorEastAsia"/>
          <w:color w:val="auto"/>
          <w:sz w:val="24"/>
          <w:szCs w:val="24"/>
          <w:highlight w:val="none"/>
        </w:rPr>
        <w:t>磋商须知”规定的磋商有效期内有效，在此期间内如果成交，我方将受此约束。</w:t>
      </w:r>
    </w:p>
    <w:p>
      <w:pPr>
        <w:pStyle w:val="8"/>
        <w:pageBreakBefore w:val="0"/>
        <w:tabs>
          <w:tab w:val="left" w:pos="4194"/>
          <w:tab w:val="left" w:pos="6162"/>
          <w:tab w:val="left" w:pos="6260"/>
        </w:tabs>
        <w:kinsoku/>
        <w:wordWrap w:val="0"/>
        <w:overflowPunct/>
        <w:topLinePunct w:val="0"/>
        <w:bidi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w:t>
      </w:r>
      <w:r>
        <w:rPr>
          <w:rFonts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rPr>
        <w:t>除非另外达成协议并生效，成交通知书和磋商响应文件将成为约束双方的合同文件的组成部分。</w:t>
      </w:r>
    </w:p>
    <w:p>
      <w:pPr>
        <w:pStyle w:val="8"/>
        <w:pageBreakBefore w:val="0"/>
        <w:tabs>
          <w:tab w:val="left" w:pos="4194"/>
          <w:tab w:val="left" w:pos="6162"/>
          <w:tab w:val="left" w:pos="6260"/>
        </w:tabs>
        <w:kinsoku/>
        <w:wordWrap w:val="0"/>
        <w:overflowPunct/>
        <w:topLinePunct w:val="0"/>
        <w:bidi w:val="0"/>
        <w:spacing w:before="76" w:line="360" w:lineRule="auto"/>
        <w:ind w:right="461" w:firstLine="480" w:firstLineChars="200"/>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（盖章）</w:t>
      </w:r>
    </w:p>
    <w:p>
      <w:pPr>
        <w:pStyle w:val="8"/>
        <w:pageBreakBefore w:val="0"/>
        <w:tabs>
          <w:tab w:val="left" w:pos="4194"/>
          <w:tab w:val="left" w:pos="6162"/>
          <w:tab w:val="left" w:pos="6260"/>
        </w:tabs>
        <w:kinsoku/>
        <w:wordWrap w:val="0"/>
        <w:overflowPunct/>
        <w:topLinePunct w:val="0"/>
        <w:bidi w:val="0"/>
        <w:spacing w:before="76" w:line="360" w:lineRule="auto"/>
        <w:ind w:right="461"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单位地址：</w:t>
      </w:r>
    </w:p>
    <w:p>
      <w:pPr>
        <w:pStyle w:val="8"/>
        <w:pageBreakBefore w:val="0"/>
        <w:tabs>
          <w:tab w:val="left" w:pos="4194"/>
          <w:tab w:val="left" w:pos="6162"/>
          <w:tab w:val="left" w:pos="6260"/>
        </w:tabs>
        <w:kinsoku/>
        <w:wordWrap w:val="0"/>
        <w:overflowPunct/>
        <w:topLinePunct w:val="0"/>
        <w:bidi w:val="0"/>
        <w:spacing w:before="76"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pStyle w:val="8"/>
        <w:pageBreakBefore w:val="0"/>
        <w:tabs>
          <w:tab w:val="left" w:pos="4194"/>
          <w:tab w:val="left" w:pos="6162"/>
          <w:tab w:val="left" w:pos="6260"/>
        </w:tabs>
        <w:kinsoku/>
        <w:wordWrap w:val="0"/>
        <w:overflowPunct/>
        <w:topLinePunct w:val="0"/>
        <w:bidi w:val="0"/>
        <w:spacing w:before="76" w:line="360" w:lineRule="auto"/>
        <w:ind w:right="461"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p>
      <w:pPr>
        <w:pStyle w:val="8"/>
        <w:pageBreakBefore w:val="0"/>
        <w:tabs>
          <w:tab w:val="left" w:pos="4194"/>
          <w:tab w:val="left" w:pos="6162"/>
          <w:tab w:val="left" w:pos="6260"/>
        </w:tabs>
        <w:kinsoku/>
        <w:wordWrap w:val="0"/>
        <w:overflowPunct/>
        <w:topLinePunct w:val="0"/>
        <w:bidi w:val="0"/>
        <w:spacing w:before="76" w:line="360" w:lineRule="auto"/>
        <w:ind w:right="461"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rPr>
        <w:t xml:space="preserve">   </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rPr>
        <w:t xml:space="preserve">  </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日</w:t>
      </w:r>
    </w:p>
    <w:p>
      <w:pPr>
        <w:pageBreakBefore w:val="0"/>
        <w:kinsoku/>
        <w:wordWrap w:val="0"/>
        <w:overflowPunct/>
        <w:topLinePunct w:val="0"/>
        <w:bidi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3"/>
        <w:pageBreakBefore w:val="0"/>
        <w:tabs>
          <w:tab w:val="left" w:pos="3237"/>
          <w:tab w:val="center" w:pos="4537"/>
        </w:tabs>
        <w:kinsoku/>
        <w:wordWrap w:val="0"/>
        <w:overflowPunct/>
        <w:topLinePunct w:val="0"/>
        <w:bidi w:val="0"/>
        <w:spacing w:after="3" w:line="360" w:lineRule="auto"/>
        <w:ind w:left="0" w:leftChars="0" w:firstLine="0" w:firstLineChars="0"/>
        <w:jc w:val="center"/>
        <w:outlineLvl w:val="1"/>
        <w:rPr>
          <w:rFonts w:hint="eastAsia" w:asciiTheme="minorEastAsia" w:hAnsiTheme="minorEastAsia" w:eastAsiaTheme="minorEastAsia" w:cstheme="minorEastAsia"/>
          <w:b/>
          <w:bCs/>
          <w:color w:val="auto"/>
          <w:sz w:val="28"/>
          <w:szCs w:val="28"/>
          <w:highlight w:val="none"/>
          <w:lang w:val="en-US"/>
        </w:rPr>
      </w:pPr>
      <w:bookmarkStart w:id="243" w:name="_Toc8037"/>
      <w:bookmarkStart w:id="244" w:name="_Toc22904"/>
      <w:bookmarkStart w:id="245" w:name="_Toc4988"/>
      <w:bookmarkStart w:id="246" w:name="_Toc16993"/>
      <w:bookmarkStart w:id="247" w:name="_Toc9867"/>
      <w:bookmarkStart w:id="248" w:name="_Toc1348_WPSOffice_Level2"/>
      <w:bookmarkStart w:id="249" w:name="_Toc787"/>
      <w:bookmarkStart w:id="250" w:name="_Toc31410"/>
      <w:bookmarkStart w:id="251" w:name="_Toc18377"/>
      <w:bookmarkStart w:id="252" w:name="_Toc30389"/>
      <w:bookmarkStart w:id="253" w:name="_Toc27269"/>
      <w:bookmarkStart w:id="254" w:name="_Toc26733"/>
      <w:r>
        <w:rPr>
          <w:rFonts w:hint="eastAsia" w:asciiTheme="minorEastAsia" w:hAnsiTheme="minorEastAsia" w:eastAsiaTheme="minorEastAsia" w:cstheme="minorEastAsia"/>
          <w:b/>
          <w:bCs/>
          <w:color w:val="auto"/>
          <w:sz w:val="28"/>
          <w:szCs w:val="28"/>
          <w:highlight w:val="none"/>
          <w:lang w:val="en-US" w:eastAsia="zh-CN"/>
        </w:rPr>
        <w:t>2.</w:t>
      </w:r>
      <w:r>
        <w:rPr>
          <w:rFonts w:hint="eastAsia" w:asciiTheme="minorEastAsia" w:hAnsiTheme="minorEastAsia" w:eastAsiaTheme="minorEastAsia" w:cstheme="minorEastAsia"/>
          <w:b/>
          <w:bCs/>
          <w:color w:val="auto"/>
          <w:sz w:val="28"/>
          <w:szCs w:val="28"/>
          <w:highlight w:val="none"/>
          <w:lang w:val="en-US"/>
        </w:rPr>
        <w:t>磋商</w:t>
      </w:r>
      <w:bookmarkEnd w:id="243"/>
      <w:bookmarkEnd w:id="244"/>
      <w:bookmarkEnd w:id="245"/>
      <w:bookmarkEnd w:id="246"/>
      <w:bookmarkEnd w:id="247"/>
      <w:bookmarkEnd w:id="248"/>
      <w:bookmarkEnd w:id="249"/>
      <w:bookmarkEnd w:id="250"/>
      <w:r>
        <w:rPr>
          <w:rFonts w:hint="eastAsia" w:asciiTheme="minorEastAsia" w:hAnsiTheme="minorEastAsia" w:eastAsiaTheme="minorEastAsia" w:cstheme="minorEastAsia"/>
          <w:b/>
          <w:bCs/>
          <w:color w:val="auto"/>
          <w:sz w:val="28"/>
          <w:szCs w:val="28"/>
          <w:highlight w:val="none"/>
          <w:lang w:val="en-US" w:eastAsia="zh-CN"/>
        </w:rPr>
        <w:t>一览</w:t>
      </w:r>
      <w:r>
        <w:rPr>
          <w:rFonts w:hint="eastAsia" w:asciiTheme="minorEastAsia" w:hAnsiTheme="minorEastAsia" w:eastAsiaTheme="minorEastAsia" w:cstheme="minorEastAsia"/>
          <w:b/>
          <w:bCs/>
          <w:color w:val="auto"/>
          <w:sz w:val="28"/>
          <w:szCs w:val="28"/>
          <w:highlight w:val="none"/>
          <w:lang w:val="en-US"/>
        </w:rPr>
        <w:t>表</w:t>
      </w:r>
      <w:bookmarkEnd w:id="251"/>
      <w:bookmarkEnd w:id="252"/>
      <w:bookmarkEnd w:id="253"/>
      <w:bookmarkEnd w:id="254"/>
    </w:p>
    <w:p>
      <w:pPr>
        <w:pageBreakBefore w:val="0"/>
        <w:kinsoku/>
        <w:wordWrap w:val="0"/>
        <w:overflowPunct/>
        <w:topLinePunct w:val="0"/>
        <w:bidi w:val="0"/>
        <w:rPr>
          <w:rFonts w:hint="eastAsia"/>
          <w:color w:val="auto"/>
          <w:highlight w:val="none"/>
          <w:lang w:val="en-US"/>
        </w:rPr>
      </w:pPr>
    </w:p>
    <w:tbl>
      <w:tblPr>
        <w:tblStyle w:val="26"/>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15"/>
        <w:gridCol w:w="67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lang w:eastAsia="zh-CN"/>
              </w:rPr>
              <w:t>名称</w:t>
            </w:r>
          </w:p>
        </w:tc>
        <w:tc>
          <w:tcPr>
            <w:tcW w:w="6704" w:type="dxa"/>
            <w:vAlign w:val="center"/>
          </w:tcPr>
          <w:p>
            <w:pPr>
              <w:pStyle w:val="46"/>
              <w:pageBreakBefore w:val="0"/>
              <w:kinsoku/>
              <w:wordWrap w:val="0"/>
              <w:overflowPunct/>
              <w:topLinePunct w:val="0"/>
              <w:bidi w:val="0"/>
              <w:jc w:val="center"/>
              <w:rPr>
                <w:rFonts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center"/>
          </w:tcPr>
          <w:p>
            <w:pPr>
              <w:pStyle w:val="46"/>
              <w:pageBreakBefore w:val="0"/>
              <w:kinsoku/>
              <w:wordWrap w:val="0"/>
              <w:overflowPunct/>
              <w:topLinePunct w:val="0"/>
              <w:bidi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704" w:type="dxa"/>
            <w:vAlign w:val="center"/>
          </w:tcPr>
          <w:p>
            <w:pPr>
              <w:pStyle w:val="46"/>
              <w:pageBreakBefore w:val="0"/>
              <w:kinsoku/>
              <w:wordWrap w:val="0"/>
              <w:overflowPunct/>
              <w:topLinePunct w:val="0"/>
              <w:bidi w:val="0"/>
              <w:jc w:val="center"/>
              <w:rPr>
                <w:rFonts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响应范围及内容</w:t>
            </w:r>
          </w:p>
        </w:tc>
        <w:tc>
          <w:tcPr>
            <w:tcW w:w="6704"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满足磋商文件第五章包含的所有内容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bottom"/>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磋商报价</w:t>
            </w:r>
          </w:p>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w:t>
            </w:r>
          </w:p>
        </w:tc>
        <w:tc>
          <w:tcPr>
            <w:tcW w:w="6704"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bottom"/>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磋商报价</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（小写）</w:t>
            </w:r>
          </w:p>
        </w:tc>
        <w:tc>
          <w:tcPr>
            <w:tcW w:w="6704"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供货及安装期</w:t>
            </w:r>
          </w:p>
        </w:tc>
        <w:tc>
          <w:tcPr>
            <w:tcW w:w="6704" w:type="dxa"/>
            <w:vAlign w:val="center"/>
          </w:tcPr>
          <w:p>
            <w:pPr>
              <w:pStyle w:val="46"/>
              <w:pageBreakBefore w:val="0"/>
              <w:kinsoku/>
              <w:wordWrap w:val="0"/>
              <w:overflowPunct/>
              <w:topLinePunct w:val="0"/>
              <w:bidi w:val="0"/>
              <w:jc w:val="center"/>
              <w:rPr>
                <w:rFonts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rPr>
              <w:t>质量</w:t>
            </w:r>
            <w:r>
              <w:rPr>
                <w:rFonts w:hint="eastAsia" w:asciiTheme="minorEastAsia" w:hAnsiTheme="minorEastAsia" w:eastAsiaTheme="minorEastAsia" w:cstheme="minorEastAsia"/>
                <w:color w:val="auto"/>
                <w:sz w:val="24"/>
                <w:szCs w:val="24"/>
                <w:highlight w:val="none"/>
                <w:lang w:val="en-US" w:eastAsia="zh-CN"/>
              </w:rPr>
              <w:t>要求</w:t>
            </w:r>
          </w:p>
        </w:tc>
        <w:tc>
          <w:tcPr>
            <w:tcW w:w="6704"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1" w:hRule="atLeast"/>
        </w:trPr>
        <w:tc>
          <w:tcPr>
            <w:tcW w:w="2015"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磋商有效期</w:t>
            </w:r>
          </w:p>
        </w:tc>
        <w:tc>
          <w:tcPr>
            <w:tcW w:w="6704"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6" w:hRule="atLeast"/>
        </w:trPr>
        <w:tc>
          <w:tcPr>
            <w:tcW w:w="2015"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c>
          <w:tcPr>
            <w:tcW w:w="6704" w:type="dxa"/>
            <w:vAlign w:val="center"/>
          </w:tcPr>
          <w:p>
            <w:pPr>
              <w:pStyle w:val="46"/>
              <w:pageBreakBefore w:val="0"/>
              <w:kinsoku/>
              <w:wordWrap w:val="0"/>
              <w:overflowPunct/>
              <w:topLinePunct w:val="0"/>
              <w:bidi w:val="0"/>
              <w:jc w:val="center"/>
              <w:rPr>
                <w:rFonts w:hint="eastAsia" w:asciiTheme="minorEastAsia" w:hAnsiTheme="minorEastAsia" w:eastAsiaTheme="minorEastAsia" w:cstheme="minorEastAsia"/>
                <w:color w:val="auto"/>
                <w:sz w:val="24"/>
                <w:szCs w:val="24"/>
                <w:highlight w:val="none"/>
              </w:rPr>
            </w:pPr>
          </w:p>
        </w:tc>
      </w:tr>
    </w:tbl>
    <w:p>
      <w:pPr>
        <w:pStyle w:val="46"/>
        <w:pageBreakBefore w:val="0"/>
        <w:kinsoku/>
        <w:wordWrap w:val="0"/>
        <w:overflowPunct/>
        <w:topLinePunct w:val="0"/>
        <w:bidi w:val="0"/>
        <w:jc w:val="both"/>
        <w:rPr>
          <w:rFonts w:hint="eastAsia" w:asciiTheme="minorEastAsia" w:hAnsiTheme="minorEastAsia" w:eastAsiaTheme="minorEastAsia" w:cstheme="minorEastAsia"/>
          <w:color w:val="auto"/>
          <w:sz w:val="24"/>
          <w:szCs w:val="24"/>
          <w:highlight w:val="none"/>
        </w:rPr>
      </w:pPr>
      <w:bookmarkStart w:id="255" w:name="_Toc688_WPSOffice_Level1"/>
      <w:bookmarkStart w:id="256" w:name="_Toc776_WPSOffice_Level1"/>
      <w:bookmarkStart w:id="257" w:name="_Toc17021_WPSOffice_Level1"/>
      <w:bookmarkStart w:id="258" w:name="_Toc31518_WPSOffice_Level1"/>
    </w:p>
    <w:p>
      <w:pPr>
        <w:pStyle w:val="46"/>
        <w:pageBreakBefore w:val="0"/>
        <w:kinsoku/>
        <w:wordWrap w:val="0"/>
        <w:overflowPunct/>
        <w:topLinePunct w:val="0"/>
        <w:bidi w:val="0"/>
        <w:jc w:val="both"/>
        <w:rPr>
          <w:rFonts w:hint="eastAsia" w:asciiTheme="minorEastAsia" w:hAnsiTheme="minorEastAsia" w:eastAsiaTheme="minorEastAsia" w:cstheme="minorEastAsia"/>
          <w:color w:val="auto"/>
          <w:sz w:val="24"/>
          <w:szCs w:val="24"/>
          <w:highlight w:val="none"/>
        </w:rPr>
      </w:pPr>
    </w:p>
    <w:p>
      <w:pPr>
        <w:pStyle w:val="46"/>
        <w:pageBreakBefore w:val="0"/>
        <w:kinsoku/>
        <w:wordWrap w:val="0"/>
        <w:overflowPunct/>
        <w:topLinePunct w:val="0"/>
        <w:bidi w:val="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 </w:t>
      </w:r>
    </w:p>
    <w:p>
      <w:pPr>
        <w:pStyle w:val="46"/>
        <w:pageBreakBefore w:val="0"/>
        <w:kinsoku/>
        <w:wordWrap w:val="0"/>
        <w:overflowPunct/>
        <w:topLinePunct w:val="0"/>
        <w:bidi w:val="0"/>
        <w:jc w:val="righ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（盖章）</w:t>
      </w:r>
      <w:bookmarkEnd w:id="255"/>
      <w:bookmarkEnd w:id="256"/>
      <w:bookmarkEnd w:id="257"/>
      <w:bookmarkEnd w:id="258"/>
      <w:r>
        <w:rPr>
          <w:rFonts w:hint="eastAsia" w:asciiTheme="minorEastAsia" w:hAnsiTheme="minorEastAsia" w:eastAsiaTheme="minorEastAsia" w:cstheme="minorEastAsia"/>
          <w:color w:val="auto"/>
          <w:sz w:val="24"/>
          <w:szCs w:val="24"/>
          <w:highlight w:val="none"/>
          <w:lang w:val="en-US" w:eastAsia="zh-CN"/>
        </w:rPr>
        <w:t xml:space="preserve"> </w:t>
      </w:r>
    </w:p>
    <w:p>
      <w:pPr>
        <w:pStyle w:val="46"/>
        <w:pageBreakBefore w:val="0"/>
        <w:kinsoku/>
        <w:wordWrap w:val="0"/>
        <w:overflowPunct/>
        <w:topLinePunct w:val="0"/>
        <w:bidi w:val="0"/>
        <w:jc w:val="righ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 </w:t>
      </w:r>
    </w:p>
    <w:p>
      <w:pPr>
        <w:pStyle w:val="46"/>
        <w:pageBreakBefore w:val="0"/>
        <w:kinsoku/>
        <w:wordWrap w:val="0"/>
        <w:overflowPunct/>
        <w:topLinePunct w:val="0"/>
        <w:bidi w:val="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（签字或盖章）</w:t>
      </w:r>
    </w:p>
    <w:p>
      <w:pPr>
        <w:pStyle w:val="46"/>
        <w:pageBreakBefore w:val="0"/>
        <w:kinsoku/>
        <w:wordWrap w:val="0"/>
        <w:overflowPunct/>
        <w:topLinePunct w:val="0"/>
        <w:bidi w:val="0"/>
        <w:jc w:val="right"/>
        <w:rPr>
          <w:rFonts w:hint="eastAsia" w:asciiTheme="minorEastAsia" w:hAnsiTheme="minorEastAsia" w:eastAsiaTheme="minorEastAsia" w:cstheme="minorEastAsia"/>
          <w:color w:val="auto"/>
          <w:sz w:val="24"/>
          <w:szCs w:val="24"/>
          <w:highlight w:val="none"/>
        </w:rPr>
      </w:pPr>
    </w:p>
    <w:p>
      <w:pPr>
        <w:pStyle w:val="46"/>
        <w:pageBreakBefore w:val="0"/>
        <w:kinsoku/>
        <w:wordWrap w:val="0"/>
        <w:overflowPunct/>
        <w:topLinePunct w:val="0"/>
        <w:bidi w:val="0"/>
        <w:ind w:firstLine="720" w:firstLineChars="30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rPr>
        <w:t xml:space="preserve"> </w:t>
      </w:r>
      <w:r>
        <w:rPr>
          <w:rFonts w:hint="eastAsia" w:asciiTheme="minorEastAsia" w:hAnsiTheme="minorEastAsia" w:eastAsiaTheme="minorEastAsia" w:cstheme="minorEastAsia"/>
          <w:color w:val="auto"/>
          <w:sz w:val="24"/>
          <w:szCs w:val="24"/>
          <w:highlight w:val="none"/>
        </w:rPr>
        <w:t>日</w:t>
      </w:r>
      <w:bookmarkStart w:id="259" w:name="_bookmark16"/>
      <w:bookmarkEnd w:id="259"/>
    </w:p>
    <w:p>
      <w:pPr>
        <w:pageBreakBefore w:val="0"/>
        <w:kinsoku/>
        <w:wordWrap w:val="0"/>
        <w:overflowPunct/>
        <w:topLinePunct w:val="0"/>
        <w:bidi w:val="0"/>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4"/>
          <w:szCs w:val="24"/>
          <w:highlight w:val="none"/>
        </w:rPr>
        <w:br w:type="page"/>
      </w:r>
    </w:p>
    <w:bookmarkEnd w:id="228"/>
    <w:bookmarkEnd w:id="229"/>
    <w:bookmarkEnd w:id="230"/>
    <w:bookmarkEnd w:id="231"/>
    <w:bookmarkEnd w:id="232"/>
    <w:bookmarkEnd w:id="233"/>
    <w:bookmarkEnd w:id="234"/>
    <w:bookmarkEnd w:id="235"/>
    <w:bookmarkEnd w:id="236"/>
    <w:bookmarkEnd w:id="237"/>
    <w:bookmarkEnd w:id="238"/>
    <w:bookmarkEnd w:id="239"/>
    <w:p>
      <w:pPr>
        <w:pStyle w:val="3"/>
        <w:pageBreakBefore w:val="0"/>
        <w:kinsoku/>
        <w:wordWrap w:val="0"/>
        <w:overflowPunct/>
        <w:topLinePunct w:val="0"/>
        <w:bidi w:val="0"/>
        <w:jc w:val="center"/>
        <w:outlineLvl w:val="1"/>
        <w:rPr>
          <w:color w:val="auto"/>
          <w:sz w:val="28"/>
          <w:szCs w:val="28"/>
          <w:highlight w:val="none"/>
        </w:rPr>
      </w:pPr>
      <w:bookmarkStart w:id="260" w:name="_Toc74235877"/>
      <w:bookmarkStart w:id="261" w:name="_Toc73110509"/>
      <w:bookmarkStart w:id="262" w:name="_Toc13506"/>
      <w:bookmarkStart w:id="263" w:name="_Toc491157408"/>
      <w:r>
        <w:rPr>
          <w:color w:val="auto"/>
          <w:sz w:val="28"/>
          <w:szCs w:val="28"/>
          <w:highlight w:val="none"/>
        </w:rPr>
        <w:t>3</w:t>
      </w:r>
      <w:r>
        <w:rPr>
          <w:rFonts w:hint="eastAsia"/>
          <w:color w:val="auto"/>
          <w:sz w:val="28"/>
          <w:szCs w:val="28"/>
          <w:highlight w:val="none"/>
        </w:rPr>
        <w:t>.投标报价表</w:t>
      </w:r>
      <w:bookmarkEnd w:id="260"/>
      <w:bookmarkEnd w:id="261"/>
      <w:bookmarkEnd w:id="262"/>
    </w:p>
    <w:p>
      <w:pPr>
        <w:pageBreakBefore w:val="0"/>
        <w:kinsoku/>
        <w:wordWrap w:val="0"/>
        <w:overflowPunct/>
        <w:topLinePunct w:val="0"/>
        <w:bidi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pPr>
        <w:pageBreakBefore w:val="0"/>
        <w:kinsoku/>
        <w:wordWrap w:val="0"/>
        <w:overflowPunct/>
        <w:topLinePunct w:val="0"/>
        <w:bidi w:val="0"/>
        <w:spacing w:line="360" w:lineRule="auto"/>
        <w:rPr>
          <w:rFonts w:ascii="宋体" w:hAnsi="宋体" w:cs="宋体"/>
          <w:color w:val="auto"/>
          <w:szCs w:val="21"/>
          <w:highlight w:val="none"/>
        </w:rPr>
      </w:pPr>
      <w:r>
        <w:rPr>
          <w:rFonts w:hint="eastAsia" w:ascii="宋体" w:hAnsi="宋体" w:cs="宋体"/>
          <w:color w:val="auto"/>
          <w:szCs w:val="21"/>
          <w:highlight w:val="none"/>
        </w:rPr>
        <w:t>单位：人民币元</w:t>
      </w:r>
    </w:p>
    <w:p>
      <w:pPr>
        <w:pageBreakBefore w:val="0"/>
        <w:kinsoku/>
        <w:wordWrap w:val="0"/>
        <w:overflowPunct/>
        <w:topLinePunct w:val="0"/>
        <w:bidi w:val="0"/>
        <w:rPr>
          <w:rFonts w:hint="eastAsia"/>
          <w:color w:val="auto"/>
          <w:highlight w:val="none"/>
        </w:rPr>
      </w:pPr>
    </w:p>
    <w:tbl>
      <w:tblPr>
        <w:tblStyle w:val="26"/>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077"/>
        <w:gridCol w:w="1344"/>
        <w:gridCol w:w="1276"/>
        <w:gridCol w:w="1276"/>
        <w:gridCol w:w="850"/>
        <w:gridCol w:w="1234"/>
        <w:gridCol w:w="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07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134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型号和规格</w:t>
            </w: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数量</w:t>
            </w:r>
          </w:p>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原产地和制造商名称</w:t>
            </w:r>
          </w:p>
        </w:tc>
        <w:tc>
          <w:tcPr>
            <w:tcW w:w="85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单价</w:t>
            </w: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总价</w:t>
            </w: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07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4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5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2.</w:t>
            </w:r>
          </w:p>
        </w:tc>
        <w:tc>
          <w:tcPr>
            <w:tcW w:w="207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4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5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3.</w:t>
            </w:r>
          </w:p>
        </w:tc>
        <w:tc>
          <w:tcPr>
            <w:tcW w:w="207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4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5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07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4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5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07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4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5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07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4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5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6823" w:type="dxa"/>
            <w:gridSpan w:val="5"/>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至最终目的地运保费</w:t>
            </w: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6823" w:type="dxa"/>
            <w:gridSpan w:val="5"/>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税费</w:t>
            </w: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2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6823" w:type="dxa"/>
            <w:gridSpan w:val="5"/>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其他</w:t>
            </w:r>
          </w:p>
        </w:tc>
        <w:tc>
          <w:tcPr>
            <w:tcW w:w="1234"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80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546" w:type="dxa"/>
            <w:gridSpan w:val="6"/>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总价</w:t>
            </w:r>
          </w:p>
        </w:tc>
        <w:tc>
          <w:tcPr>
            <w:tcW w:w="2040" w:type="dxa"/>
            <w:gridSpan w:val="2"/>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bl>
    <w:p>
      <w:pPr>
        <w:pageBreakBefore w:val="0"/>
        <w:kinsoku/>
        <w:wordWrap w:val="0"/>
        <w:overflowPunct/>
        <w:topLinePunct w:val="0"/>
        <w:bidi w:val="0"/>
        <w:rPr>
          <w:rFonts w:ascii="宋体" w:hAnsi="宋体" w:cs="宋体"/>
          <w:color w:val="auto"/>
          <w:szCs w:val="21"/>
          <w:highlight w:val="none"/>
        </w:rPr>
      </w:pPr>
    </w:p>
    <w:p>
      <w:pPr>
        <w:pageBreakBefore w:val="0"/>
        <w:kinsoku/>
        <w:wordWrap w:val="0"/>
        <w:overflowPunct/>
        <w:topLinePunct w:val="0"/>
        <w:bidi w:val="0"/>
        <w:rPr>
          <w:rFonts w:hint="eastAsia" w:ascii="宋体" w:hAnsi="宋体" w:cs="宋体"/>
          <w:color w:val="auto"/>
          <w:szCs w:val="21"/>
          <w:highlight w:val="none"/>
        </w:rPr>
      </w:pPr>
      <w:r>
        <w:rPr>
          <w:rFonts w:hint="eastAsia" w:ascii="宋体" w:hAnsi="宋体" w:cs="宋体"/>
          <w:color w:val="auto"/>
          <w:szCs w:val="21"/>
          <w:highlight w:val="none"/>
        </w:rPr>
        <w:t>供应商法定代表人或其授权委托人（签字或盖章）：</w:t>
      </w:r>
    </w:p>
    <w:p>
      <w:pPr>
        <w:pageBreakBefore w:val="0"/>
        <w:kinsoku/>
        <w:wordWrap w:val="0"/>
        <w:overflowPunct/>
        <w:topLinePunct w:val="0"/>
        <w:bidi w:val="0"/>
        <w:rPr>
          <w:rFonts w:hint="eastAsia" w:ascii="宋体" w:hAnsi="宋体" w:cs="宋体"/>
          <w:color w:val="auto"/>
          <w:szCs w:val="21"/>
          <w:highlight w:val="none"/>
        </w:rPr>
      </w:pPr>
    </w:p>
    <w:p>
      <w:pPr>
        <w:pageBreakBefore w:val="0"/>
        <w:kinsoku/>
        <w:wordWrap w:val="0"/>
        <w:overflowPunct/>
        <w:topLinePunct w:val="0"/>
        <w:bidi w:val="0"/>
        <w:rPr>
          <w:rFonts w:hint="eastAsia" w:ascii="宋体" w:hAnsi="宋体" w:cs="宋体"/>
          <w:color w:val="auto"/>
          <w:szCs w:val="21"/>
          <w:highlight w:val="none"/>
        </w:rPr>
      </w:pPr>
      <w:r>
        <w:rPr>
          <w:rFonts w:hint="eastAsia" w:ascii="宋体" w:hAnsi="宋体" w:cs="宋体"/>
          <w:color w:val="auto"/>
          <w:szCs w:val="21"/>
          <w:highlight w:val="none"/>
        </w:rPr>
        <w:t>供应商（盖单位公章）：</w:t>
      </w:r>
    </w:p>
    <w:p>
      <w:pPr>
        <w:pageBreakBefore w:val="0"/>
        <w:kinsoku/>
        <w:wordWrap w:val="0"/>
        <w:overflowPunct/>
        <w:topLinePunct w:val="0"/>
        <w:bidi w:val="0"/>
        <w:rPr>
          <w:rFonts w:hint="eastAsia" w:ascii="宋体" w:hAnsi="宋体" w:cs="宋体"/>
          <w:color w:val="auto"/>
          <w:szCs w:val="21"/>
          <w:highlight w:val="none"/>
        </w:rPr>
      </w:pPr>
    </w:p>
    <w:p>
      <w:pPr>
        <w:pageBreakBefore w:val="0"/>
        <w:kinsoku/>
        <w:wordWrap w:val="0"/>
        <w:overflowPunct/>
        <w:topLinePunct w:val="0"/>
        <w:bidi w:val="0"/>
        <w:rPr>
          <w:rFonts w:hint="eastAsia" w:ascii="宋体" w:hAnsi="宋体" w:cs="宋体"/>
          <w:color w:val="auto"/>
          <w:szCs w:val="21"/>
          <w:highlight w:val="none"/>
        </w:rPr>
      </w:pPr>
      <w:r>
        <w:rPr>
          <w:rFonts w:hint="eastAsia" w:ascii="宋体" w:hAnsi="宋体" w:cs="宋体"/>
          <w:color w:val="auto"/>
          <w:szCs w:val="21"/>
          <w:highlight w:val="none"/>
        </w:rPr>
        <w:t>日  期：</w:t>
      </w:r>
    </w:p>
    <w:p>
      <w:pPr>
        <w:pStyle w:val="51"/>
        <w:pageBreakBefore w:val="0"/>
        <w:kinsoku/>
        <w:wordWrap w:val="0"/>
        <w:overflowPunct/>
        <w:topLinePunct w:val="0"/>
        <w:bidi w:val="0"/>
        <w:ind w:firstLine="420"/>
        <w:rPr>
          <w:rFonts w:hint="eastAsia"/>
          <w:color w:val="auto"/>
          <w:sz w:val="21"/>
          <w:szCs w:val="21"/>
          <w:highlight w:val="none"/>
        </w:rPr>
      </w:pPr>
    </w:p>
    <w:p>
      <w:pPr>
        <w:pageBreakBefore w:val="0"/>
        <w:kinsoku/>
        <w:wordWrap w:val="0"/>
        <w:overflowPunct/>
        <w:topLinePunct w:val="0"/>
        <w:bidi w:val="0"/>
        <w:spacing w:line="360" w:lineRule="auto"/>
        <w:rPr>
          <w:rFonts w:hint="eastAsia" w:ascii="宋体" w:hAnsi="宋体" w:cs="宋体"/>
          <w:b/>
          <w:color w:val="auto"/>
          <w:szCs w:val="21"/>
          <w:highlight w:val="none"/>
        </w:rPr>
      </w:pPr>
      <w:bookmarkStart w:id="264" w:name="_Hlk65575409"/>
      <w:r>
        <w:rPr>
          <w:rFonts w:hint="eastAsia" w:ascii="宋体" w:hAnsi="宋体" w:cs="宋体"/>
          <w:b/>
          <w:color w:val="auto"/>
          <w:szCs w:val="21"/>
          <w:highlight w:val="none"/>
        </w:rPr>
        <w:t>注：</w:t>
      </w:r>
    </w:p>
    <w:bookmarkEnd w:id="264"/>
    <w:p>
      <w:pPr>
        <w:pageBreakBefore w:val="0"/>
        <w:kinsoku/>
        <w:wordWrap w:val="0"/>
        <w:overflowPunct/>
        <w:topLinePunct w:val="0"/>
        <w:bidi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1.此表可根据实际情况扩展，如果按单价计算的结果与总价不一致,以单价为准修正总价。</w:t>
      </w:r>
    </w:p>
    <w:p>
      <w:pPr>
        <w:pStyle w:val="51"/>
        <w:pageBreakBefore w:val="0"/>
        <w:kinsoku/>
        <w:wordWrap w:val="0"/>
        <w:overflowPunct/>
        <w:topLinePunct w:val="0"/>
        <w:bidi w:val="0"/>
        <w:ind w:firstLine="482"/>
        <w:rPr>
          <w:rFonts w:ascii="宋体" w:hAnsi="宋体" w:cs="宋体"/>
          <w:b/>
          <w:color w:val="auto"/>
          <w:highlight w:val="none"/>
        </w:rPr>
      </w:pPr>
    </w:p>
    <w:p>
      <w:pPr>
        <w:rPr>
          <w:color w:val="auto"/>
          <w:sz w:val="28"/>
          <w:szCs w:val="28"/>
          <w:highlight w:val="none"/>
        </w:rPr>
      </w:pPr>
      <w:bookmarkStart w:id="265" w:name="_Toc73110510"/>
      <w:bookmarkStart w:id="266" w:name="_Toc74235878"/>
      <w:r>
        <w:rPr>
          <w:color w:val="auto"/>
          <w:sz w:val="28"/>
          <w:szCs w:val="28"/>
          <w:highlight w:val="none"/>
        </w:rPr>
        <w:br w:type="page"/>
      </w:r>
    </w:p>
    <w:p>
      <w:pPr>
        <w:pStyle w:val="3"/>
        <w:pageBreakBefore w:val="0"/>
        <w:kinsoku/>
        <w:wordWrap w:val="0"/>
        <w:overflowPunct/>
        <w:topLinePunct w:val="0"/>
        <w:bidi w:val="0"/>
        <w:jc w:val="center"/>
        <w:outlineLvl w:val="1"/>
        <w:rPr>
          <w:color w:val="auto"/>
          <w:sz w:val="28"/>
          <w:szCs w:val="28"/>
          <w:highlight w:val="none"/>
        </w:rPr>
      </w:pPr>
      <w:r>
        <w:rPr>
          <w:color w:val="auto"/>
          <w:sz w:val="28"/>
          <w:szCs w:val="28"/>
          <w:highlight w:val="none"/>
        </w:rPr>
        <w:t>4.</w:t>
      </w:r>
      <w:r>
        <w:rPr>
          <w:rFonts w:hint="eastAsia"/>
          <w:color w:val="auto"/>
          <w:sz w:val="28"/>
          <w:szCs w:val="28"/>
          <w:highlight w:val="none"/>
        </w:rPr>
        <w:t>备件专用工具价格表</w:t>
      </w:r>
      <w:bookmarkEnd w:id="265"/>
      <w:bookmarkEnd w:id="266"/>
    </w:p>
    <w:p>
      <w:pPr>
        <w:pageBreakBefore w:val="0"/>
        <w:kinsoku/>
        <w:wordWrap w:val="0"/>
        <w:overflowPunct/>
        <w:topLinePunct w:val="0"/>
        <w:bidi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pPr>
        <w:pageBreakBefore w:val="0"/>
        <w:kinsoku/>
        <w:wordWrap w:val="0"/>
        <w:overflowPunct/>
        <w:topLinePunct w:val="0"/>
        <w:bidi w:val="0"/>
        <w:spacing w:line="360" w:lineRule="auto"/>
        <w:rPr>
          <w:rFonts w:ascii="宋体" w:hAnsi="宋体" w:cs="宋体"/>
          <w:color w:val="auto"/>
          <w:szCs w:val="21"/>
          <w:highlight w:val="none"/>
        </w:rPr>
      </w:pPr>
      <w:r>
        <w:rPr>
          <w:rFonts w:hint="eastAsia" w:ascii="宋体" w:hAnsi="宋体" w:cs="宋体"/>
          <w:color w:val="auto"/>
          <w:szCs w:val="21"/>
          <w:highlight w:val="none"/>
        </w:rPr>
        <w:t>报价单位：人民币元</w:t>
      </w:r>
    </w:p>
    <w:p>
      <w:pPr>
        <w:pageBreakBefore w:val="0"/>
        <w:kinsoku/>
        <w:wordWrap w:val="0"/>
        <w:overflowPunct/>
        <w:topLinePunct w:val="0"/>
        <w:bidi w:val="0"/>
        <w:spacing w:line="360" w:lineRule="auto"/>
        <w:rPr>
          <w:rFonts w:hint="eastAsia" w:ascii="宋体" w:hAnsi="宋体" w:cs="宋体"/>
          <w:color w:val="auto"/>
          <w:szCs w:val="21"/>
          <w:highlight w:val="none"/>
        </w:rPr>
      </w:pPr>
    </w:p>
    <w:tbl>
      <w:tblPr>
        <w:tblStyle w:val="26"/>
        <w:tblW w:w="9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67"/>
        <w:gridCol w:w="967"/>
        <w:gridCol w:w="1616"/>
        <w:gridCol w:w="1292"/>
        <w:gridCol w:w="968"/>
        <w:gridCol w:w="968"/>
        <w:gridCol w:w="968"/>
        <w:gridCol w:w="968"/>
        <w:gridCol w:w="96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规格型号</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制造商</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单位</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单价</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jc w:val="center"/>
        </w:trPr>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0" w:type="auto"/>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bl>
    <w:p>
      <w:pPr>
        <w:pageBreakBefore w:val="0"/>
        <w:kinsoku/>
        <w:wordWrap w:val="0"/>
        <w:overflowPunct/>
        <w:topLinePunct w:val="0"/>
        <w:bidi w:val="0"/>
        <w:rPr>
          <w:color w:val="auto"/>
          <w:highlight w:val="none"/>
        </w:rPr>
      </w:pPr>
    </w:p>
    <w:p>
      <w:pPr>
        <w:pageBreakBefore w:val="0"/>
        <w:kinsoku/>
        <w:wordWrap w:val="0"/>
        <w:overflowPunct/>
        <w:topLinePunct w:val="0"/>
        <w:bidi w:val="0"/>
        <w:rPr>
          <w:rFonts w:ascii="宋体" w:hAnsi="宋体" w:cs="宋体"/>
          <w:color w:val="auto"/>
          <w:szCs w:val="21"/>
          <w:highlight w:val="none"/>
        </w:rPr>
      </w:pPr>
    </w:p>
    <w:p>
      <w:pPr>
        <w:pageBreakBefore w:val="0"/>
        <w:kinsoku/>
        <w:wordWrap w:val="0"/>
        <w:overflowPunct/>
        <w:topLinePunct w:val="0"/>
        <w:bidi w:val="0"/>
        <w:rPr>
          <w:rFonts w:hint="eastAsia" w:ascii="宋体" w:hAnsi="宋体" w:cs="宋体"/>
          <w:color w:val="auto"/>
          <w:szCs w:val="21"/>
          <w:highlight w:val="none"/>
        </w:rPr>
      </w:pPr>
      <w:r>
        <w:rPr>
          <w:rFonts w:hint="eastAsia" w:ascii="宋体" w:hAnsi="宋体" w:cs="宋体"/>
          <w:color w:val="auto"/>
          <w:szCs w:val="21"/>
          <w:highlight w:val="none"/>
        </w:rPr>
        <w:t>供应商法定代表人或其授权委托人（签字或盖章）：</w:t>
      </w:r>
    </w:p>
    <w:p>
      <w:pPr>
        <w:pageBreakBefore w:val="0"/>
        <w:kinsoku/>
        <w:wordWrap w:val="0"/>
        <w:overflowPunct/>
        <w:topLinePunct w:val="0"/>
        <w:bidi w:val="0"/>
        <w:rPr>
          <w:rFonts w:hint="eastAsia" w:ascii="宋体" w:hAnsi="宋体" w:cs="宋体"/>
          <w:color w:val="auto"/>
          <w:szCs w:val="21"/>
          <w:highlight w:val="none"/>
        </w:rPr>
      </w:pPr>
    </w:p>
    <w:p>
      <w:pPr>
        <w:pageBreakBefore w:val="0"/>
        <w:kinsoku/>
        <w:wordWrap w:val="0"/>
        <w:overflowPunct/>
        <w:topLinePunct w:val="0"/>
        <w:bidi w:val="0"/>
        <w:rPr>
          <w:rFonts w:hint="eastAsia" w:ascii="宋体" w:hAnsi="宋体" w:cs="宋体"/>
          <w:color w:val="auto"/>
          <w:szCs w:val="21"/>
          <w:highlight w:val="none"/>
        </w:rPr>
      </w:pPr>
      <w:r>
        <w:rPr>
          <w:rFonts w:hint="eastAsia" w:ascii="宋体" w:hAnsi="宋体" w:cs="宋体"/>
          <w:color w:val="auto"/>
          <w:szCs w:val="21"/>
          <w:highlight w:val="none"/>
        </w:rPr>
        <w:t>供应商（盖单位公章）：</w:t>
      </w:r>
    </w:p>
    <w:p>
      <w:pPr>
        <w:pageBreakBefore w:val="0"/>
        <w:kinsoku/>
        <w:wordWrap w:val="0"/>
        <w:overflowPunct/>
        <w:topLinePunct w:val="0"/>
        <w:bidi w:val="0"/>
        <w:rPr>
          <w:rFonts w:hint="eastAsia" w:ascii="宋体" w:hAnsi="宋体" w:cs="宋体"/>
          <w:color w:val="auto"/>
          <w:szCs w:val="21"/>
          <w:highlight w:val="none"/>
        </w:rPr>
      </w:pPr>
    </w:p>
    <w:p>
      <w:pPr>
        <w:pageBreakBefore w:val="0"/>
        <w:kinsoku/>
        <w:wordWrap w:val="0"/>
        <w:overflowPunct/>
        <w:topLinePunct w:val="0"/>
        <w:bidi w:val="0"/>
        <w:rPr>
          <w:rFonts w:hint="eastAsia" w:ascii="宋体" w:hAnsi="宋体" w:cs="宋体"/>
          <w:color w:val="auto"/>
          <w:szCs w:val="21"/>
          <w:highlight w:val="none"/>
        </w:rPr>
      </w:pPr>
      <w:r>
        <w:rPr>
          <w:rFonts w:hint="eastAsia" w:ascii="宋体" w:hAnsi="宋体" w:cs="宋体"/>
          <w:color w:val="auto"/>
          <w:szCs w:val="21"/>
          <w:highlight w:val="none"/>
        </w:rPr>
        <w:t>日  期：</w:t>
      </w:r>
    </w:p>
    <w:p>
      <w:pPr>
        <w:pStyle w:val="3"/>
        <w:pageBreakBefore w:val="0"/>
        <w:kinsoku/>
        <w:wordWrap w:val="0"/>
        <w:overflowPunct/>
        <w:topLinePunct w:val="0"/>
        <w:bidi w:val="0"/>
        <w:jc w:val="center"/>
        <w:outlineLvl w:val="1"/>
        <w:rPr>
          <w:rFonts w:hint="eastAsia"/>
          <w:color w:val="auto"/>
          <w:sz w:val="28"/>
          <w:szCs w:val="28"/>
          <w:highlight w:val="none"/>
        </w:rPr>
      </w:pPr>
      <w:r>
        <w:rPr>
          <w:color w:val="auto"/>
          <w:highlight w:val="none"/>
        </w:rPr>
        <w:br w:type="page"/>
      </w:r>
      <w:bookmarkEnd w:id="263"/>
      <w:bookmarkStart w:id="267" w:name="_Toc709"/>
      <w:bookmarkStart w:id="268" w:name="_Toc491157411"/>
      <w:bookmarkStart w:id="269" w:name="_Toc73110512"/>
      <w:bookmarkStart w:id="270" w:name="_Toc74235879"/>
      <w:r>
        <w:rPr>
          <w:color w:val="auto"/>
          <w:sz w:val="28"/>
          <w:szCs w:val="28"/>
          <w:highlight w:val="none"/>
        </w:rPr>
        <w:t>5</w:t>
      </w:r>
      <w:r>
        <w:rPr>
          <w:rFonts w:hint="eastAsia"/>
          <w:color w:val="auto"/>
          <w:sz w:val="28"/>
          <w:szCs w:val="28"/>
          <w:highlight w:val="none"/>
        </w:rPr>
        <w:t>.资格声明函</w:t>
      </w:r>
      <w:bookmarkEnd w:id="267"/>
      <w:bookmarkEnd w:id="268"/>
      <w:bookmarkEnd w:id="269"/>
      <w:bookmarkEnd w:id="270"/>
    </w:p>
    <w:p>
      <w:pPr>
        <w:pageBreakBefore w:val="0"/>
        <w:kinsoku/>
        <w:wordWrap w:val="0"/>
        <w:overflowPunct/>
        <w:topLinePunct w:val="0"/>
        <w:bidi w:val="0"/>
        <w:spacing w:line="360" w:lineRule="auto"/>
        <w:rPr>
          <w:rFonts w:hint="eastAsia" w:ascii="宋体" w:hAnsi="宋体" w:eastAsia="宋体" w:cs="宋体"/>
          <w:b/>
          <w:color w:val="auto"/>
          <w:sz w:val="21"/>
          <w:szCs w:val="20"/>
          <w:highlight w:val="none"/>
          <w:u w:val="single"/>
          <w:lang w:eastAsia="zh-CN"/>
        </w:rPr>
      </w:pPr>
      <w:r>
        <w:rPr>
          <w:rFonts w:hint="eastAsia" w:ascii="宋体" w:hAnsi="宋体" w:cs="宋体"/>
          <w:b/>
          <w:color w:val="auto"/>
          <w:szCs w:val="21"/>
          <w:highlight w:val="none"/>
        </w:rPr>
        <w:t>致：</w:t>
      </w:r>
      <w:r>
        <w:rPr>
          <w:rFonts w:hint="eastAsia" w:asciiTheme="minorEastAsia" w:hAnsiTheme="minorEastAsia" w:eastAsiaTheme="minorEastAsia" w:cstheme="minorEastAsia"/>
          <w:b/>
          <w:bCs/>
          <w:color w:val="auto"/>
          <w:sz w:val="22"/>
          <w:szCs w:val="22"/>
          <w:highlight w:val="none"/>
          <w:u w:val="single"/>
        </w:rPr>
        <w:t>（采购人名称）</w:t>
      </w:r>
    </w:p>
    <w:p>
      <w:pPr>
        <w:pageBreakBefore w:val="0"/>
        <w:kinsoku/>
        <w:wordWrap w:val="0"/>
        <w:overflowPunct/>
        <w:topLinePunct w:val="0"/>
        <w:bidi w:val="0"/>
        <w:spacing w:line="480" w:lineRule="auto"/>
        <w:ind w:firstLine="640"/>
        <w:rPr>
          <w:rFonts w:hint="eastAsia" w:ascii="宋体" w:hAnsi="宋体" w:cs="宋体"/>
          <w:color w:val="auto"/>
          <w:szCs w:val="21"/>
          <w:highlight w:val="none"/>
        </w:rPr>
      </w:pPr>
      <w:r>
        <w:rPr>
          <w:rFonts w:hint="eastAsia" w:ascii="宋体" w:hAnsi="宋体" w:cs="宋体"/>
          <w:color w:val="auto"/>
          <w:szCs w:val="21"/>
          <w:highlight w:val="none"/>
        </w:rPr>
        <w:t>我方接受贵方【采购编号：</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rPr>
        <w:t>】的磋商文件要求，自愿参加投标，现递交下列文件并保证所有陈述是正确、有效的：</w:t>
      </w:r>
    </w:p>
    <w:p>
      <w:pPr>
        <w:keepNext w:val="0"/>
        <w:keepLines w:val="0"/>
        <w:pageBreakBefore w:val="0"/>
        <w:widowControl w:val="0"/>
        <w:numPr>
          <w:ilvl w:val="0"/>
          <w:numId w:val="5"/>
        </w:numPr>
        <w:tabs>
          <w:tab w:val="left" w:pos="799"/>
        </w:tabs>
        <w:kinsoku/>
        <w:wordWrap w:val="0"/>
        <w:overflowPunct/>
        <w:topLinePunct w:val="0"/>
        <w:autoSpaceDE/>
        <w:autoSpaceDN/>
        <w:bidi w:val="0"/>
        <w:adjustRightInd/>
        <w:snapToGrid/>
        <w:spacing w:line="480" w:lineRule="auto"/>
        <w:ind w:left="799" w:hanging="368"/>
        <w:textAlignment w:val="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法定代表人授权委托书；</w:t>
      </w:r>
    </w:p>
    <w:p>
      <w:pPr>
        <w:keepNext w:val="0"/>
        <w:keepLines w:val="0"/>
        <w:pageBreakBefore w:val="0"/>
        <w:widowControl w:val="0"/>
        <w:numPr>
          <w:ilvl w:val="0"/>
          <w:numId w:val="5"/>
        </w:numPr>
        <w:tabs>
          <w:tab w:val="left" w:pos="799"/>
        </w:tabs>
        <w:kinsoku/>
        <w:wordWrap w:val="0"/>
        <w:overflowPunct/>
        <w:topLinePunct w:val="0"/>
        <w:autoSpaceDE/>
        <w:autoSpaceDN/>
        <w:bidi w:val="0"/>
        <w:adjustRightInd/>
        <w:snapToGrid/>
        <w:spacing w:line="480" w:lineRule="auto"/>
        <w:ind w:left="799" w:hanging="368"/>
        <w:textAlignment w:val="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val="en-US" w:eastAsia="zh-TW"/>
        </w:rPr>
        <w:t>具有独立承担民事责任能力的证明材料</w:t>
      </w:r>
      <w:r>
        <w:rPr>
          <w:rFonts w:hint="eastAsia" w:ascii="宋体" w:hAnsi="宋体" w:eastAsia="宋体" w:cs="宋体"/>
          <w:color w:val="auto"/>
          <w:sz w:val="21"/>
          <w:szCs w:val="21"/>
          <w:highlight w:val="none"/>
          <w:lang w:eastAsia="zh-TW"/>
        </w:rPr>
        <w:t>扫描件（</w:t>
      </w:r>
      <w:r>
        <w:rPr>
          <w:rFonts w:hint="eastAsia" w:ascii="宋体" w:hAnsi="宋体" w:eastAsia="宋体" w:cs="宋体"/>
          <w:color w:val="auto"/>
          <w:sz w:val="21"/>
          <w:szCs w:val="21"/>
          <w:highlight w:val="none"/>
          <w:lang w:val="en-US" w:eastAsia="zh-TW"/>
        </w:rPr>
        <w:t>例：营业执照（副本）等</w:t>
      </w:r>
      <w:r>
        <w:rPr>
          <w:rFonts w:hint="eastAsia" w:ascii="宋体" w:hAnsi="宋体" w:eastAsia="宋体" w:cs="宋体"/>
          <w:color w:val="auto"/>
          <w:sz w:val="21"/>
          <w:szCs w:val="21"/>
          <w:highlight w:val="none"/>
          <w:lang w:eastAsia="zh-TW"/>
        </w:rPr>
        <w:t>）；</w:t>
      </w:r>
    </w:p>
    <w:p>
      <w:pPr>
        <w:keepNext w:val="0"/>
        <w:keepLines w:val="0"/>
        <w:pageBreakBefore w:val="0"/>
        <w:widowControl w:val="0"/>
        <w:numPr>
          <w:ilvl w:val="0"/>
          <w:numId w:val="5"/>
        </w:numPr>
        <w:tabs>
          <w:tab w:val="left" w:pos="799"/>
        </w:tabs>
        <w:kinsoku/>
        <w:wordWrap w:val="0"/>
        <w:overflowPunct/>
        <w:topLinePunct w:val="0"/>
        <w:autoSpaceDE/>
        <w:autoSpaceDN/>
        <w:bidi w:val="0"/>
        <w:adjustRightInd/>
        <w:snapToGrid/>
        <w:spacing w:line="480" w:lineRule="auto"/>
        <w:ind w:left="799" w:hanging="368"/>
        <w:textAlignment w:val="auto"/>
        <w:rPr>
          <w:rFonts w:hint="eastAsia" w:ascii="宋体" w:hAnsi="宋体" w:eastAsia="宋体" w:cs="宋体"/>
          <w:color w:val="auto"/>
          <w:sz w:val="21"/>
          <w:szCs w:val="21"/>
          <w:highlight w:val="none"/>
          <w:lang w:eastAsia="zh-TW"/>
        </w:rPr>
      </w:pPr>
      <w:r>
        <w:rPr>
          <w:rFonts w:hint="eastAsia" w:ascii="宋体" w:hAnsi="宋体" w:eastAsia="宋体" w:cs="宋体"/>
          <w:color w:val="auto"/>
          <w:sz w:val="21"/>
          <w:szCs w:val="21"/>
          <w:highlight w:val="none"/>
          <w:lang w:eastAsia="zh-TW"/>
        </w:rPr>
        <w:t>供应商“全国企业信用信息公示系统”中查询打印的相关材料（需包含公司基本信息、股东信息及股权变更信息）；</w:t>
      </w:r>
    </w:p>
    <w:p>
      <w:pPr>
        <w:keepNext w:val="0"/>
        <w:keepLines w:val="0"/>
        <w:pageBreakBefore w:val="0"/>
        <w:widowControl w:val="0"/>
        <w:numPr>
          <w:ilvl w:val="0"/>
          <w:numId w:val="5"/>
        </w:numPr>
        <w:tabs>
          <w:tab w:val="left" w:pos="799"/>
        </w:tabs>
        <w:kinsoku/>
        <w:wordWrap w:val="0"/>
        <w:overflowPunct/>
        <w:topLinePunct w:val="0"/>
        <w:autoSpaceDE/>
        <w:autoSpaceDN/>
        <w:bidi w:val="0"/>
        <w:adjustRightInd/>
        <w:snapToGrid/>
        <w:spacing w:line="480" w:lineRule="auto"/>
        <w:ind w:left="799" w:hanging="368"/>
        <w:textAlignment w:val="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TW"/>
        </w:rPr>
        <w:t>资格承诺声明函</w:t>
      </w:r>
      <w:r>
        <w:rPr>
          <w:rFonts w:hint="eastAsia" w:ascii="宋体" w:hAnsi="宋体" w:eastAsia="宋体" w:cs="宋体"/>
          <w:color w:val="auto"/>
          <w:sz w:val="21"/>
          <w:szCs w:val="21"/>
          <w:highlight w:val="none"/>
          <w:lang w:eastAsia="zh-CN"/>
        </w:rPr>
        <w:t>。</w:t>
      </w:r>
    </w:p>
    <w:p>
      <w:pPr>
        <w:pageBreakBefore w:val="0"/>
        <w:kinsoku/>
        <w:wordWrap w:val="0"/>
        <w:overflowPunct/>
        <w:topLinePunct w:val="0"/>
        <w:bidi w:val="0"/>
        <w:spacing w:line="360" w:lineRule="auto"/>
        <w:rPr>
          <w:rFonts w:hint="eastAsia" w:ascii="宋体" w:hAnsi="宋体" w:eastAsia="PMingLiU" w:cs="宋体"/>
          <w:color w:val="auto"/>
          <w:szCs w:val="21"/>
          <w:highlight w:val="none"/>
        </w:rPr>
      </w:pPr>
    </w:p>
    <w:p>
      <w:pPr>
        <w:pStyle w:val="60"/>
        <w:pageBreakBefore w:val="0"/>
        <w:kinsoku/>
        <w:wordWrap w:val="0"/>
        <w:overflowPunct/>
        <w:topLinePunct w:val="0"/>
        <w:bidi w:val="0"/>
        <w:rPr>
          <w:rFonts w:hint="eastAsia" w:ascii="宋体" w:hAnsi="宋体" w:eastAsia="PMingLiU" w:cs="宋体"/>
          <w:color w:val="auto"/>
          <w:szCs w:val="21"/>
          <w:highlight w:val="none"/>
        </w:rPr>
      </w:pPr>
    </w:p>
    <w:p>
      <w:pPr>
        <w:pStyle w:val="8"/>
        <w:pageBreakBefore w:val="0"/>
        <w:kinsoku/>
        <w:wordWrap w:val="0"/>
        <w:overflowPunct/>
        <w:topLinePunct w:val="0"/>
        <w:bidi w:val="0"/>
        <w:rPr>
          <w:rFonts w:hint="eastAsia"/>
          <w:color w:val="auto"/>
          <w:highlight w:val="none"/>
        </w:rPr>
      </w:pP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供应商名称（盖单位公章）：            法定代表人（签字或盖章）：</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地址：                                邮政编码：</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供应商授权委托人（签字或盖章）：</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 xml:space="preserve">电话：                                传真：    </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时 间：   年  月  日</w:t>
      </w:r>
    </w:p>
    <w:p>
      <w:pPr>
        <w:pageBreakBefore w:val="0"/>
        <w:kinsoku/>
        <w:wordWrap w:val="0"/>
        <w:overflowPunct/>
        <w:topLinePunct w:val="0"/>
        <w:bidi w:val="0"/>
        <w:spacing w:line="360" w:lineRule="auto"/>
        <w:ind w:firstLine="640"/>
        <w:jc w:val="center"/>
        <w:rPr>
          <w:rFonts w:ascii="宋体" w:hAnsi="宋体" w:cs="宋体"/>
          <w:b/>
          <w:color w:val="auto"/>
          <w:szCs w:val="21"/>
          <w:highlight w:val="none"/>
          <w:u w:val="single"/>
        </w:rPr>
      </w:pPr>
      <w:r>
        <w:rPr>
          <w:rFonts w:hint="eastAsia" w:ascii="宋体" w:hAnsi="宋体" w:cs="宋体"/>
          <w:b/>
          <w:color w:val="auto"/>
          <w:szCs w:val="21"/>
          <w:highlight w:val="none"/>
          <w:u w:val="single"/>
        </w:rPr>
        <w:t>（以上要求的内容请附后）</w:t>
      </w:r>
    </w:p>
    <w:p>
      <w:pPr>
        <w:pStyle w:val="55"/>
        <w:pageBreakBefore w:val="0"/>
        <w:numPr>
          <w:ilvl w:val="1"/>
          <w:numId w:val="0"/>
        </w:numPr>
        <w:kinsoku/>
        <w:wordWrap w:val="0"/>
        <w:overflowPunct/>
        <w:topLinePunct w:val="0"/>
        <w:bidi w:val="0"/>
        <w:ind w:leftChars="0"/>
        <w:jc w:val="center"/>
        <w:outlineLvl w:val="2"/>
        <w:rPr>
          <w:rFonts w:hint="eastAsia" w:ascii="宋体" w:hAnsi="宋体" w:eastAsia="宋体"/>
          <w:b/>
          <w:bCs/>
          <w:color w:val="auto"/>
          <w:sz w:val="32"/>
          <w:szCs w:val="32"/>
          <w:highlight w:val="none"/>
        </w:rPr>
      </w:pPr>
      <w:bookmarkStart w:id="271" w:name="_Toc14357"/>
      <w:bookmarkStart w:id="272" w:name="_Toc22989"/>
      <w:bookmarkStart w:id="273" w:name="_Toc4714"/>
      <w:bookmarkStart w:id="274" w:name="_Toc73110513"/>
      <w:bookmarkStart w:id="275" w:name="_Toc22810846"/>
      <w:bookmarkStart w:id="276" w:name="_Toc51845395"/>
      <w:bookmarkStart w:id="277" w:name="_Toc53477549"/>
      <w:bookmarkStart w:id="278" w:name="_Toc51919558"/>
      <w:bookmarkStart w:id="279" w:name="_Toc3688"/>
      <w:bookmarkStart w:id="280" w:name="_Toc31528"/>
      <w:bookmarkStart w:id="281" w:name="_Toc53220718"/>
      <w:bookmarkStart w:id="282" w:name="_Toc10239"/>
      <w:bookmarkStart w:id="283" w:name="_Toc20194"/>
      <w:bookmarkStart w:id="284" w:name="_Toc11136"/>
      <w:bookmarkStart w:id="285" w:name="_Toc491157412"/>
      <w:bookmarkStart w:id="286" w:name="_Toc399408378"/>
      <w:bookmarkStart w:id="287" w:name="_Toc51921750"/>
      <w:bookmarkStart w:id="288" w:name="_Toc65247523"/>
      <w:r>
        <w:rPr>
          <w:rFonts w:hAnsi="宋体" w:cs="宋体"/>
          <w:color w:val="auto"/>
          <w:sz w:val="30"/>
          <w:szCs w:val="21"/>
          <w:highlight w:val="none"/>
        </w:rPr>
        <w:br w:type="page"/>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Start w:id="289" w:name="_Toc1425"/>
      <w:bookmarkStart w:id="290" w:name="_Toc5482"/>
      <w:bookmarkStart w:id="291" w:name="_Toc484693657"/>
      <w:r>
        <w:rPr>
          <w:rFonts w:hint="eastAsia" w:ascii="宋体" w:hAnsi="宋体" w:eastAsia="宋体"/>
          <w:b/>
          <w:bCs/>
          <w:color w:val="auto"/>
          <w:sz w:val="32"/>
          <w:szCs w:val="32"/>
          <w:highlight w:val="none"/>
          <w:lang w:val="en-US" w:eastAsia="zh-CN"/>
        </w:rPr>
        <w:t>5.1</w:t>
      </w:r>
      <w:r>
        <w:rPr>
          <w:rFonts w:hint="eastAsia" w:ascii="宋体" w:hAnsi="宋体" w:eastAsia="宋体"/>
          <w:b/>
          <w:bCs/>
          <w:color w:val="auto"/>
          <w:sz w:val="32"/>
          <w:szCs w:val="32"/>
          <w:highlight w:val="none"/>
        </w:rPr>
        <w:t>授权委托书</w:t>
      </w:r>
      <w:bookmarkEnd w:id="289"/>
      <w:bookmarkEnd w:id="290"/>
    </w:p>
    <w:p>
      <w:pPr>
        <w:pageBreakBefore w:val="0"/>
        <w:kinsoku/>
        <w:wordWrap w:val="0"/>
        <w:overflowPunct/>
        <w:topLinePunct w:val="0"/>
        <w:bidi w:val="0"/>
        <w:spacing w:line="440" w:lineRule="exact"/>
        <w:rPr>
          <w:rFonts w:hint="eastAsia" w:ascii="宋体" w:hAnsi="宋体" w:cs="宋体"/>
          <w:color w:val="auto"/>
          <w:szCs w:val="21"/>
          <w:highlight w:val="none"/>
        </w:rPr>
      </w:pPr>
    </w:p>
    <w:p>
      <w:pPr>
        <w:pageBreakBefore w:val="0"/>
        <w:kinsoku/>
        <w:wordWrap w:val="0"/>
        <w:overflowPunct/>
        <w:topLinePunct w:val="0"/>
        <w:autoSpaceDE w:val="0"/>
        <w:autoSpaceDN w:val="0"/>
        <w:bidi w:val="0"/>
        <w:adjustRightInd w:val="0"/>
        <w:spacing w:line="440" w:lineRule="exact"/>
        <w:ind w:firstLine="44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本人 </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（姓名）系</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（供应商名称）的法定代表人，现委托</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（姓名）为我方代理人。代理人根据授权，以我方名义签署、澄清、说明、补正、递交、撤回、修改</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kern w:val="0"/>
          <w:szCs w:val="21"/>
          <w:highlight w:val="none"/>
          <w:u w:val="single"/>
        </w:rPr>
        <w:t xml:space="preserve"> （项目名称及</w:t>
      </w:r>
      <w:r>
        <w:rPr>
          <w:rFonts w:hint="eastAsia" w:ascii="宋体" w:hAnsi="宋体" w:cs="宋体"/>
          <w:color w:val="auto"/>
          <w:kern w:val="0"/>
          <w:szCs w:val="21"/>
          <w:highlight w:val="none"/>
          <w:u w:val="single"/>
          <w:lang w:eastAsia="zh-CN"/>
        </w:rPr>
        <w:t>采购编号</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磋商文件、签订合同和处理有关事宜，其法律后果由我方承担。</w:t>
      </w:r>
    </w:p>
    <w:p>
      <w:pPr>
        <w:pageBreakBefore w:val="0"/>
        <w:kinsoku/>
        <w:wordWrap w:val="0"/>
        <w:overflowPunct/>
        <w:topLinePunct w:val="0"/>
        <w:autoSpaceDE w:val="0"/>
        <w:autoSpaceDN w:val="0"/>
        <w:bidi w:val="0"/>
        <w:adjustRightInd w:val="0"/>
        <w:spacing w:line="440" w:lineRule="exact"/>
        <w:ind w:firstLine="44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委托期限：</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pPr>
        <w:pageBreakBefore w:val="0"/>
        <w:kinsoku/>
        <w:wordWrap w:val="0"/>
        <w:overflowPunct/>
        <w:topLinePunct w:val="0"/>
        <w:bidi w:val="0"/>
        <w:spacing w:line="440" w:lineRule="exact"/>
        <w:ind w:firstLine="440" w:firstLineChars="200"/>
        <w:rPr>
          <w:rFonts w:hint="eastAsia" w:ascii="宋体" w:hAnsi="宋体" w:cs="宋体"/>
          <w:color w:val="auto"/>
          <w:szCs w:val="21"/>
          <w:highlight w:val="none"/>
        </w:rPr>
      </w:pPr>
      <w:r>
        <w:rPr>
          <w:rFonts w:hint="eastAsia" w:ascii="宋体" w:hAnsi="宋体" w:cs="宋体"/>
          <w:color w:val="auto"/>
          <w:kern w:val="0"/>
          <w:szCs w:val="21"/>
          <w:highlight w:val="none"/>
        </w:rPr>
        <w:t>代理人无转委托权。</w:t>
      </w:r>
    </w:p>
    <w:p>
      <w:pPr>
        <w:pageBreakBefore w:val="0"/>
        <w:kinsoku/>
        <w:wordWrap w:val="0"/>
        <w:overflowPunct/>
        <w:topLinePunct w:val="0"/>
        <w:bidi w:val="0"/>
        <w:spacing w:line="440" w:lineRule="exact"/>
        <w:ind w:firstLine="440" w:firstLineChars="200"/>
        <w:rPr>
          <w:rFonts w:hint="eastAsia" w:ascii="宋体" w:hAnsi="宋体" w:cs="宋体"/>
          <w:color w:val="auto"/>
          <w:szCs w:val="21"/>
          <w:highlight w:val="none"/>
        </w:rPr>
      </w:pPr>
      <w:r>
        <w:rPr>
          <w:rFonts w:hint="eastAsia" w:ascii="宋体" w:hAnsi="宋体" w:cs="宋体"/>
          <w:color w:val="auto"/>
          <w:kern w:val="0"/>
          <w:szCs w:val="21"/>
          <w:highlight w:val="none"/>
        </w:rPr>
        <w:t>附：法定代表人身份证</w:t>
      </w:r>
      <w:r>
        <w:rPr>
          <w:rFonts w:hint="eastAsia" w:ascii="宋体" w:hAnsi="宋体" w:cs="宋体"/>
          <w:color w:val="auto"/>
          <w:kern w:val="0"/>
          <w:szCs w:val="21"/>
          <w:highlight w:val="none"/>
          <w:lang w:eastAsia="zh-CN"/>
        </w:rPr>
        <w:t>扫描件</w:t>
      </w:r>
      <w:r>
        <w:rPr>
          <w:rFonts w:hint="eastAsia" w:ascii="宋体" w:hAnsi="宋体" w:cs="宋体"/>
          <w:color w:val="auto"/>
          <w:kern w:val="0"/>
          <w:szCs w:val="21"/>
          <w:highlight w:val="none"/>
        </w:rPr>
        <w:t>及授权委托人身份证</w:t>
      </w:r>
      <w:r>
        <w:rPr>
          <w:rFonts w:hint="eastAsia" w:ascii="宋体" w:hAnsi="宋体" w:cs="宋体"/>
          <w:color w:val="auto"/>
          <w:kern w:val="0"/>
          <w:szCs w:val="21"/>
          <w:highlight w:val="none"/>
          <w:lang w:eastAsia="zh-CN"/>
        </w:rPr>
        <w:t>扫描件</w:t>
      </w:r>
    </w:p>
    <w:p>
      <w:pPr>
        <w:pageBreakBefore w:val="0"/>
        <w:kinsoku/>
        <w:wordWrap w:val="0"/>
        <w:overflowPunct/>
        <w:topLinePunct w:val="0"/>
        <w:bidi w:val="0"/>
        <w:spacing w:line="440" w:lineRule="exact"/>
        <w:rPr>
          <w:rFonts w:hint="eastAsia" w:ascii="宋体" w:hAnsi="宋体" w:cs="宋体"/>
          <w:color w:val="auto"/>
          <w:szCs w:val="21"/>
          <w:highlight w:val="none"/>
        </w:rPr>
      </w:pPr>
    </w:p>
    <w:p>
      <w:pPr>
        <w:pageBreakBefore w:val="0"/>
        <w:kinsoku/>
        <w:wordWrap w:val="0"/>
        <w:overflowPunct/>
        <w:topLinePunct w:val="0"/>
        <w:bidi w:val="0"/>
        <w:spacing w:line="440" w:lineRule="exact"/>
        <w:rPr>
          <w:rFonts w:hint="eastAsia" w:ascii="宋体" w:hAnsi="宋体" w:cs="宋体"/>
          <w:color w:val="auto"/>
          <w:szCs w:val="21"/>
          <w:highlight w:val="none"/>
        </w:rPr>
      </w:pPr>
    </w:p>
    <w:p>
      <w:pPr>
        <w:pageBreakBefore w:val="0"/>
        <w:kinsoku/>
        <w:wordWrap w:val="0"/>
        <w:overflowPunct/>
        <w:topLinePunct w:val="0"/>
        <w:bidi w:val="0"/>
        <w:spacing w:line="440" w:lineRule="exact"/>
        <w:rPr>
          <w:rFonts w:hint="eastAsia" w:ascii="宋体" w:hAnsi="宋体" w:cs="宋体"/>
          <w:color w:val="auto"/>
          <w:szCs w:val="21"/>
          <w:highlight w:val="none"/>
        </w:rPr>
      </w:pPr>
    </w:p>
    <w:p>
      <w:pPr>
        <w:pageBreakBefore w:val="0"/>
        <w:kinsoku/>
        <w:wordWrap w:val="0"/>
        <w:overflowPunct/>
        <w:topLinePunct w:val="0"/>
        <w:bidi w:val="0"/>
        <w:spacing w:line="440" w:lineRule="exact"/>
        <w:jc w:val="right"/>
        <w:rPr>
          <w:rFonts w:hint="eastAsia" w:ascii="宋体" w:hAnsi="宋体" w:cs="宋体"/>
          <w:color w:val="auto"/>
          <w:szCs w:val="21"/>
          <w:highlight w:val="none"/>
        </w:rPr>
      </w:pPr>
      <w:r>
        <w:rPr>
          <w:rFonts w:hint="eastAsia" w:ascii="宋体" w:hAnsi="宋体" w:cs="宋体"/>
          <w:color w:val="auto"/>
          <w:szCs w:val="21"/>
          <w:highlight w:val="none"/>
        </w:rPr>
        <w:t>供应商：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（盖单位公章）</w:t>
      </w:r>
    </w:p>
    <w:p>
      <w:pPr>
        <w:pageBreakBefore w:val="0"/>
        <w:kinsoku/>
        <w:wordWrap w:val="0"/>
        <w:overflowPunct/>
        <w:topLinePunct w:val="0"/>
        <w:bidi w:val="0"/>
        <w:spacing w:line="440" w:lineRule="exact"/>
        <w:jc w:val="right"/>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w:t>
      </w:r>
    </w:p>
    <w:p>
      <w:pPr>
        <w:pageBreakBefore w:val="0"/>
        <w:kinsoku/>
        <w:wordWrap w:val="0"/>
        <w:overflowPunct/>
        <w:topLinePunct w:val="0"/>
        <w:bidi w:val="0"/>
        <w:spacing w:line="440" w:lineRule="exact"/>
        <w:ind w:firstLine="4070" w:firstLineChars="1850"/>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p>
      <w:pPr>
        <w:pageBreakBefore w:val="0"/>
        <w:kinsoku/>
        <w:wordWrap w:val="0"/>
        <w:overflowPunct/>
        <w:topLinePunct w:val="0"/>
        <w:bidi w:val="0"/>
        <w:spacing w:line="440" w:lineRule="exact"/>
        <w:jc w:val="right"/>
        <w:rPr>
          <w:rFonts w:hint="eastAsia" w:ascii="宋体" w:hAnsi="宋体" w:cs="宋体"/>
          <w:color w:val="auto"/>
          <w:szCs w:val="21"/>
          <w:highlight w:val="none"/>
        </w:rPr>
      </w:pPr>
      <w:r>
        <w:rPr>
          <w:rFonts w:hint="eastAsia" w:ascii="宋体" w:hAnsi="宋体" w:cs="宋体"/>
          <w:color w:val="auto"/>
          <w:szCs w:val="21"/>
          <w:highlight w:val="none"/>
        </w:rPr>
        <w:t>授权委托人：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pPr>
        <w:pageBreakBefore w:val="0"/>
        <w:kinsoku/>
        <w:wordWrap w:val="0"/>
        <w:overflowPunct/>
        <w:topLinePunct w:val="0"/>
        <w:bidi w:val="0"/>
        <w:spacing w:line="440" w:lineRule="exact"/>
        <w:ind w:firstLine="4070" w:firstLineChars="1850"/>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p>
    <w:p>
      <w:pPr>
        <w:pageBreakBefore w:val="0"/>
        <w:kinsoku/>
        <w:wordWrap w:val="0"/>
        <w:overflowPunct/>
        <w:topLinePunct w:val="0"/>
        <w:bidi w:val="0"/>
        <w:jc w:val="center"/>
        <w:rPr>
          <w:rFonts w:hint="eastAsia" w:ascii="宋体" w:hAnsi="宋体" w:cs="宋体"/>
          <w:b/>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pPr>
        <w:pageBreakBefore w:val="0"/>
        <w:kinsoku/>
        <w:wordWrap w:val="0"/>
        <w:overflowPunct/>
        <w:topLinePunct w:val="0"/>
        <w:bidi w:val="0"/>
        <w:ind w:left="987"/>
        <w:rPr>
          <w:rFonts w:hint="eastAsia" w:ascii="宋体" w:hAnsi="宋体" w:cs="宋体"/>
          <w:color w:val="auto"/>
          <w:szCs w:val="21"/>
          <w:highlight w:val="none"/>
        </w:rPr>
      </w:pPr>
      <w:bookmarkStart w:id="292" w:name="_Toc31939"/>
      <w:bookmarkStart w:id="293" w:name="_Toc31228"/>
      <w:bookmarkStart w:id="294" w:name="_Toc22810847"/>
      <w:bookmarkStart w:id="295" w:name="_Toc24251"/>
      <w:bookmarkStart w:id="296" w:name="_Toc3054"/>
      <w:bookmarkStart w:id="297" w:name="_Toc18060"/>
      <w:bookmarkStart w:id="298" w:name="_Toc21520"/>
      <w:bookmarkStart w:id="299" w:name="_Toc30328"/>
      <w:r>
        <w:rPr>
          <w:rFonts w:hAnsi="宋体" w:cs="宋体"/>
          <w:color w:val="auto"/>
          <w:szCs w:val="21"/>
          <w:highlight w:val="none"/>
        </w:rPr>
        <w:br w:type="page"/>
      </w:r>
      <w:bookmarkStart w:id="300" w:name="_Toc53477550"/>
      <w:bookmarkStart w:id="301" w:name="_Toc53220719"/>
      <w:bookmarkStart w:id="302" w:name="_Toc51921751"/>
      <w:bookmarkStart w:id="303" w:name="_Toc51845396"/>
      <w:bookmarkStart w:id="304" w:name="_Toc73110514"/>
      <w:bookmarkStart w:id="305" w:name="_Toc65247524"/>
      <w:bookmarkStart w:id="306" w:name="_Toc51919559"/>
    </w:p>
    <w:p>
      <w:pPr>
        <w:pageBreakBefore w:val="0"/>
        <w:kinsoku/>
        <w:wordWrap w:val="0"/>
        <w:overflowPunct/>
        <w:topLinePunct w:val="0"/>
        <w:bidi w:val="0"/>
        <w:ind w:left="987"/>
        <w:rPr>
          <w:rFonts w:hint="eastAsia" w:ascii="宋体" w:hAnsi="宋体" w:cs="宋体"/>
          <w:color w:val="auto"/>
          <w:sz w:val="22"/>
          <w:szCs w:val="22"/>
          <w:highlight w:val="none"/>
        </w:rPr>
      </w:pPr>
    </w:p>
    <w:p>
      <w:pPr>
        <w:pStyle w:val="4"/>
        <w:pageBreakBefore w:val="0"/>
        <w:kinsoku/>
        <w:wordWrap w:val="0"/>
        <w:overflowPunct/>
        <w:topLinePunct w:val="0"/>
        <w:bidi w:val="0"/>
        <w:ind w:left="0" w:leftChars="0" w:firstLine="0" w:firstLineChars="0"/>
        <w:jc w:val="both"/>
        <w:outlineLvl w:val="2"/>
        <w:rPr>
          <w:rFonts w:hint="eastAsia" w:hAnsi="宋体"/>
          <w:color w:val="auto"/>
          <w:sz w:val="22"/>
          <w:szCs w:val="22"/>
          <w:highlight w:val="none"/>
        </w:rPr>
      </w:pPr>
      <w:bookmarkStart w:id="307" w:name="_Toc74235881"/>
      <w:r>
        <w:rPr>
          <w:rFonts w:hAnsi="宋体"/>
          <w:color w:val="auto"/>
          <w:sz w:val="22"/>
          <w:szCs w:val="22"/>
          <w:highlight w:val="none"/>
        </w:rPr>
        <w:t>5</w:t>
      </w:r>
      <w:r>
        <w:rPr>
          <w:rFonts w:hint="eastAsia" w:hAnsi="宋体"/>
          <w:color w:val="auto"/>
          <w:sz w:val="22"/>
          <w:szCs w:val="22"/>
          <w:highlight w:val="none"/>
        </w:rPr>
        <w:t>.2</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hAnsi="宋体"/>
          <w:color w:val="auto"/>
          <w:sz w:val="22"/>
          <w:szCs w:val="22"/>
          <w:highlight w:val="none"/>
          <w:lang w:val="en-US" w:eastAsia="zh-TW"/>
        </w:rPr>
        <w:t>具有独立承担民事责任能力的证明材料</w:t>
      </w:r>
      <w:r>
        <w:rPr>
          <w:rFonts w:hint="eastAsia" w:hAnsi="宋体"/>
          <w:color w:val="auto"/>
          <w:sz w:val="22"/>
          <w:szCs w:val="22"/>
          <w:highlight w:val="none"/>
          <w:lang w:eastAsia="zh-TW"/>
        </w:rPr>
        <w:t>扫描件（</w:t>
      </w:r>
      <w:r>
        <w:rPr>
          <w:rFonts w:hint="eastAsia" w:hAnsi="宋体"/>
          <w:color w:val="auto"/>
          <w:sz w:val="22"/>
          <w:szCs w:val="22"/>
          <w:highlight w:val="none"/>
          <w:lang w:val="en-US" w:eastAsia="zh-TW"/>
        </w:rPr>
        <w:t>例：营业执照（副本）等</w:t>
      </w:r>
      <w:r>
        <w:rPr>
          <w:rFonts w:hint="eastAsia" w:hAnsi="宋体"/>
          <w:color w:val="auto"/>
          <w:sz w:val="22"/>
          <w:szCs w:val="22"/>
          <w:highlight w:val="none"/>
          <w:lang w:eastAsia="zh-TW"/>
        </w:rPr>
        <w:t>）；</w:t>
      </w:r>
    </w:p>
    <w:p>
      <w:pPr>
        <w:pageBreakBefore w:val="0"/>
        <w:kinsoku/>
        <w:wordWrap w:val="0"/>
        <w:overflowPunct/>
        <w:topLinePunct w:val="0"/>
        <w:bidi w:val="0"/>
        <w:jc w:val="center"/>
        <w:outlineLvl w:val="9"/>
        <w:rPr>
          <w:rFonts w:hint="eastAsia" w:hAnsi="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ageBreakBefore w:val="0"/>
        <w:kinsoku/>
        <w:wordWrap w:val="0"/>
        <w:overflowPunct/>
        <w:topLinePunct w:val="0"/>
        <w:bidi w:val="0"/>
        <w:rPr>
          <w:rFonts w:hint="eastAsia" w:ascii="宋体" w:hAnsi="宋体" w:cs="宋体"/>
          <w:color w:val="auto"/>
          <w:sz w:val="22"/>
          <w:szCs w:val="22"/>
          <w:highlight w:val="none"/>
        </w:rPr>
      </w:pPr>
    </w:p>
    <w:p>
      <w:pPr>
        <w:pStyle w:val="4"/>
        <w:pageBreakBefore w:val="0"/>
        <w:kinsoku/>
        <w:wordWrap w:val="0"/>
        <w:overflowPunct/>
        <w:topLinePunct w:val="0"/>
        <w:bidi w:val="0"/>
        <w:ind w:left="0" w:leftChars="0" w:firstLine="0" w:firstLineChars="0"/>
        <w:jc w:val="left"/>
        <w:outlineLvl w:val="2"/>
        <w:rPr>
          <w:rFonts w:hint="eastAsia" w:ascii="宋体" w:hAnsi="宋体" w:eastAsia="宋体" w:cs="宋体"/>
          <w:color w:val="auto"/>
          <w:sz w:val="22"/>
          <w:szCs w:val="22"/>
          <w:highlight w:val="none"/>
        </w:rPr>
      </w:pPr>
      <w:bookmarkStart w:id="308" w:name="_Toc4913"/>
      <w:bookmarkStart w:id="309" w:name="_Toc8018"/>
      <w:bookmarkStart w:id="310" w:name="_Toc12415"/>
      <w:bookmarkStart w:id="311" w:name="_Toc6803"/>
      <w:bookmarkStart w:id="312" w:name="_Toc22810848"/>
      <w:bookmarkStart w:id="313" w:name="_Toc32155"/>
      <w:bookmarkStart w:id="314" w:name="_Toc51919560"/>
      <w:bookmarkStart w:id="315" w:name="_Toc53477551"/>
      <w:bookmarkStart w:id="316" w:name="_Toc53220720"/>
      <w:bookmarkStart w:id="317" w:name="_Toc24694"/>
      <w:bookmarkStart w:id="318" w:name="_Toc74235882"/>
      <w:bookmarkStart w:id="319" w:name="_Toc73110515"/>
      <w:bookmarkStart w:id="320" w:name="_Toc65247525"/>
      <w:bookmarkStart w:id="321" w:name="_Toc51845397"/>
      <w:bookmarkStart w:id="322" w:name="_Toc51921752"/>
      <w:bookmarkStart w:id="323" w:name="_Toc32188"/>
      <w:r>
        <w:rPr>
          <w:rFonts w:hAnsi="宋体"/>
          <w:color w:val="auto"/>
          <w:sz w:val="22"/>
          <w:szCs w:val="22"/>
          <w:highlight w:val="none"/>
        </w:rPr>
        <w:t>5</w:t>
      </w:r>
      <w:r>
        <w:rPr>
          <w:rFonts w:hint="eastAsia" w:hAnsi="宋体"/>
          <w:color w:val="auto"/>
          <w:sz w:val="22"/>
          <w:szCs w:val="22"/>
          <w:highlight w:val="none"/>
        </w:rPr>
        <w:t>.3</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hint="eastAsia" w:ascii="宋体" w:hAnsi="宋体" w:eastAsia="宋体" w:cs="宋体"/>
          <w:color w:val="auto"/>
          <w:sz w:val="22"/>
          <w:szCs w:val="22"/>
          <w:highlight w:val="none"/>
          <w:lang w:val="en-US" w:eastAsia="zh-CN"/>
        </w:rPr>
        <w:t>供应商“全国企业信用信息公示系统”中查询打印的相关材料（需包含公司基本信息、股东信息及股权变更信息）</w:t>
      </w:r>
      <w:r>
        <w:rPr>
          <w:rFonts w:hint="eastAsia" w:ascii="宋体" w:hAnsi="宋体" w:eastAsia="宋体" w:cs="宋体"/>
          <w:color w:val="auto"/>
          <w:sz w:val="22"/>
          <w:szCs w:val="22"/>
          <w:highlight w:val="none"/>
          <w:lang w:eastAsia="zh-TW"/>
        </w:rPr>
        <w:t>；</w:t>
      </w:r>
    </w:p>
    <w:p>
      <w:pPr>
        <w:pageBreakBefore w:val="0"/>
        <w:kinsoku/>
        <w:wordWrap w:val="0"/>
        <w:overflowPunct/>
        <w:topLinePunct w:val="0"/>
        <w:bidi w:val="0"/>
        <w:jc w:val="center"/>
        <w:outlineLvl w:val="9"/>
        <w:rPr>
          <w:rFonts w:hint="eastAsia" w:hAnsi="宋体"/>
          <w:color w:val="auto"/>
          <w:sz w:val="21"/>
          <w:szCs w:val="21"/>
          <w:highlight w:val="none"/>
        </w:rPr>
      </w:pPr>
    </w:p>
    <w:p>
      <w:pPr>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spacing w:line="360" w:lineRule="auto"/>
        <w:jc w:val="center"/>
        <w:outlineLvl w:val="2"/>
        <w:rPr>
          <w:rFonts w:hint="eastAsia" w:ascii="宋体" w:hAnsi="宋体" w:cs="宋体"/>
          <w:b/>
          <w:bCs/>
          <w:color w:val="auto"/>
          <w:szCs w:val="21"/>
          <w:highlight w:val="none"/>
        </w:rPr>
      </w:pPr>
      <w:bookmarkStart w:id="324" w:name="_Toc29548"/>
      <w:bookmarkStart w:id="325" w:name="_Toc12266"/>
      <w:bookmarkStart w:id="326" w:name="_Toc30206"/>
      <w:bookmarkStart w:id="327" w:name="_Toc73110516"/>
      <w:bookmarkStart w:id="328" w:name="_Toc51919561"/>
      <w:bookmarkStart w:id="329" w:name="_Toc17769"/>
      <w:bookmarkStart w:id="330" w:name="_Toc65247526"/>
      <w:bookmarkStart w:id="331" w:name="_Toc20891"/>
      <w:bookmarkStart w:id="332" w:name="_Toc1297"/>
      <w:bookmarkStart w:id="333" w:name="_Toc3095"/>
      <w:bookmarkStart w:id="334" w:name="_Toc74235883"/>
      <w:bookmarkStart w:id="335" w:name="_Toc53220721"/>
      <w:bookmarkStart w:id="336" w:name="_Toc51845398"/>
      <w:bookmarkStart w:id="337" w:name="_Toc53477552"/>
      <w:bookmarkStart w:id="338" w:name="_Toc51921753"/>
      <w:bookmarkStart w:id="339" w:name="_Toc22810849"/>
      <w:r>
        <w:rPr>
          <w:rFonts w:hAnsi="宋体"/>
          <w:color w:val="auto"/>
          <w:sz w:val="21"/>
          <w:szCs w:val="21"/>
          <w:highlight w:val="none"/>
        </w:rPr>
        <w:br w:type="page"/>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Start w:id="340" w:name="_Toc8502"/>
      <w:bookmarkStart w:id="341" w:name="_Toc32638"/>
      <w:r>
        <w:rPr>
          <w:rFonts w:hint="eastAsia" w:ascii="宋体" w:hAnsi="宋体" w:eastAsia="宋体" w:cs="宋体"/>
          <w:b/>
          <w:bCs/>
          <w:color w:val="auto"/>
          <w:kern w:val="0"/>
          <w:sz w:val="32"/>
          <w:szCs w:val="32"/>
          <w:highlight w:val="none"/>
          <w:lang w:val="en-US" w:eastAsia="zh-CN" w:bidi="ar-SA"/>
        </w:rPr>
        <w:t>5.4 资格承诺声明函</w:t>
      </w:r>
      <w:bookmarkEnd w:id="340"/>
      <w:bookmarkEnd w:id="341"/>
    </w:p>
    <w:p>
      <w:pPr>
        <w:pageBreakBefore w:val="0"/>
        <w:kinsoku/>
        <w:wordWrap w:val="0"/>
        <w:overflowPunct/>
        <w:topLinePunct w:val="0"/>
        <w:bidi w:val="0"/>
        <w:spacing w:line="360" w:lineRule="auto"/>
        <w:rPr>
          <w:rFonts w:hint="eastAsia" w:ascii="宋体" w:hAnsi="宋体" w:cs="宋体"/>
          <w:b/>
          <w:bCs/>
          <w:color w:val="auto"/>
          <w:szCs w:val="21"/>
          <w:highlight w:val="none"/>
        </w:rPr>
      </w:pPr>
    </w:p>
    <w:p>
      <w:pPr>
        <w:pageBreakBefore w:val="0"/>
        <w:kinsoku/>
        <w:wordWrap w:val="0"/>
        <w:overflowPunct/>
        <w:topLinePunct w:val="0"/>
        <w:bidi w:val="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致：</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（采购人名称）</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我方接受贵方（</w:t>
      </w:r>
      <w:r>
        <w:rPr>
          <w:rFonts w:hint="eastAsia" w:ascii="宋体" w:hAnsi="宋体" w:cs="宋体"/>
          <w:color w:val="auto"/>
          <w:szCs w:val="21"/>
          <w:highlight w:val="none"/>
          <w:u w:val="single"/>
          <w:lang w:eastAsia="zh-CN"/>
        </w:rPr>
        <w:t>采购编号：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）的磋商文件要求，自愿参加磋商，现递交下列文件并保证所有陈述是正确、有效的：</w:t>
      </w:r>
    </w:p>
    <w:p>
      <w:pPr>
        <w:keepNext w:val="0"/>
        <w:keepLines w:val="0"/>
        <w:pageBreakBefore w:val="0"/>
        <w:widowControl w:val="0"/>
        <w:numPr>
          <w:ilvl w:val="0"/>
          <w:numId w:val="0"/>
        </w:numPr>
        <w:kinsoku/>
        <w:wordWrap w:val="0"/>
        <w:overflowPunct/>
        <w:topLinePunct w:val="0"/>
        <w:autoSpaceDE w:val="0"/>
        <w:autoSpaceDN w:val="0"/>
        <w:bidi w:val="0"/>
        <w:adjustRightInd w:val="0"/>
        <w:snapToGrid w:val="0"/>
        <w:spacing w:line="360" w:lineRule="auto"/>
        <w:ind w:right="0" w:rightChars="0" w:firstLine="420" w:firstLineChars="200"/>
        <w:contextualSpacing/>
        <w:textAlignment w:val="baseline"/>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lang w:eastAsia="zh-CN"/>
        </w:rPr>
        <w:t>一、</w:t>
      </w:r>
      <w:r>
        <w:rPr>
          <w:rFonts w:hint="eastAsia" w:ascii="宋体" w:hAnsi="宋体" w:eastAsia="宋体" w:cs="宋体"/>
          <w:color w:val="auto"/>
          <w:kern w:val="0"/>
          <w:sz w:val="21"/>
          <w:szCs w:val="21"/>
          <w:highlight w:val="none"/>
          <w:u w:val="none"/>
        </w:rPr>
        <w:t>我单位全称为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 xml:space="preserve"> ，注册地点</w:t>
      </w:r>
    </w:p>
    <w:p>
      <w:pPr>
        <w:keepNext w:val="0"/>
        <w:keepLines w:val="0"/>
        <w:pageBreakBefore w:val="0"/>
        <w:widowControl w:val="0"/>
        <w:numPr>
          <w:ilvl w:val="0"/>
          <w:numId w:val="0"/>
        </w:numPr>
        <w:kinsoku/>
        <w:wordWrap w:val="0"/>
        <w:overflowPunct/>
        <w:topLinePunct w:val="0"/>
        <w:autoSpaceDE w:val="0"/>
        <w:autoSpaceDN w:val="0"/>
        <w:bidi w:val="0"/>
        <w:adjustRightInd w:val="0"/>
        <w:snapToGrid w:val="0"/>
        <w:spacing w:line="360" w:lineRule="auto"/>
        <w:ind w:right="0" w:rightChars="0"/>
        <w:contextualSpacing/>
        <w:textAlignment w:val="baseline"/>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，统一社会信用代码为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rPr>
        <w:t>，法定代表人（单位负责人）为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none"/>
          <w:lang w:eastAsia="zh-CN"/>
        </w:rPr>
        <w:t>，联系方式为</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none"/>
        </w:rPr>
        <w:t xml:space="preserve">。        </w:t>
      </w:r>
    </w:p>
    <w:p>
      <w:pPr>
        <w:pageBreakBefore w:val="0"/>
        <w:kinsoku/>
        <w:wordWrap w:val="0"/>
        <w:overflowPunct/>
        <w:topLinePunct w:val="0"/>
        <w:bidi w:val="0"/>
        <w:adjustRightInd w:val="0"/>
        <w:snapToGrid w:val="0"/>
        <w:spacing w:line="360" w:lineRule="auto"/>
        <w:ind w:firstLine="420" w:firstLineChars="200"/>
        <w:contextualSpacing/>
        <w:textAlignment w:val="baseline"/>
        <w:rPr>
          <w:rFonts w:hint="eastAsia" w:ascii="宋体" w:hAnsi="宋体" w:eastAsia="宋体" w:cs="宋体"/>
          <w:color w:val="auto"/>
          <w:kern w:val="0"/>
          <w:sz w:val="21"/>
          <w:szCs w:val="21"/>
          <w:highlight w:val="none"/>
          <w:u w:val="none"/>
        </w:rPr>
      </w:pPr>
      <w:r>
        <w:rPr>
          <w:rFonts w:hint="eastAsia" w:ascii="宋体" w:hAnsi="宋体" w:eastAsia="宋体" w:cs="宋体"/>
          <w:color w:val="auto"/>
          <w:kern w:val="0"/>
          <w:sz w:val="21"/>
          <w:szCs w:val="21"/>
          <w:highlight w:val="none"/>
          <w:u w:val="none"/>
        </w:rPr>
        <w:t>二、我单位具有独立承担民事责任的能力。</w:t>
      </w:r>
    </w:p>
    <w:p>
      <w:pPr>
        <w:pageBreakBefore w:val="0"/>
        <w:kinsoku/>
        <w:wordWrap w:val="0"/>
        <w:overflowPunct/>
        <w:topLinePunct w:val="0"/>
        <w:bidi w:val="0"/>
        <w:adjustRightInd w:val="0"/>
        <w:snapToGrid w:val="0"/>
        <w:spacing w:line="360" w:lineRule="auto"/>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三、我单位具有良好的商业信誉和健全的财务会计制度。</w:t>
      </w:r>
    </w:p>
    <w:p>
      <w:pPr>
        <w:pageBreakBefore w:val="0"/>
        <w:kinsoku/>
        <w:wordWrap w:val="0"/>
        <w:overflowPunct/>
        <w:topLinePunct w:val="0"/>
        <w:bidi w:val="0"/>
        <w:adjustRightInd w:val="0"/>
        <w:snapToGrid w:val="0"/>
        <w:spacing w:line="360" w:lineRule="auto"/>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四、我单位具有履行合同所必需的设备和专业技术能力。</w:t>
      </w:r>
    </w:p>
    <w:p>
      <w:pPr>
        <w:pageBreakBefore w:val="0"/>
        <w:kinsoku/>
        <w:wordWrap w:val="0"/>
        <w:overflowPunct/>
        <w:topLinePunct w:val="0"/>
        <w:bidi w:val="0"/>
        <w:adjustRightInd w:val="0"/>
        <w:snapToGrid w:val="0"/>
        <w:spacing w:line="360" w:lineRule="auto"/>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五、我单位有依法缴纳税收和社会保障资金的良好记录。</w:t>
      </w:r>
    </w:p>
    <w:p>
      <w:pPr>
        <w:pageBreakBefore w:val="0"/>
        <w:kinsoku/>
        <w:wordWrap w:val="0"/>
        <w:overflowPunct/>
        <w:topLinePunct w:val="0"/>
        <w:bidi w:val="0"/>
        <w:adjustRightInd w:val="0"/>
        <w:snapToGrid w:val="0"/>
        <w:spacing w:line="360" w:lineRule="auto"/>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六、我单位参加政府采购活动前三年内，在经营活动中没有重大违法记录。（重大违法记录，是指供应商因违法经营受到刑事处罚或者责令停产停业、吊销许可证或者执照、较大数额罚款等行政处罚。）</w:t>
      </w:r>
    </w:p>
    <w:p>
      <w:pPr>
        <w:pageBreakBefore w:val="0"/>
        <w:kinsoku/>
        <w:wordWrap w:val="0"/>
        <w:overflowPunct/>
        <w:topLinePunct w:val="0"/>
        <w:bidi w:val="0"/>
        <w:adjustRightInd w:val="0"/>
        <w:snapToGrid w:val="0"/>
        <w:spacing w:line="360" w:lineRule="auto"/>
        <w:ind w:firstLine="420" w:firstLineChars="200"/>
        <w:contextualSpacing/>
        <w:textAlignment w:val="baseline"/>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七、我单位具备法律、行政法规规定的其他条件。</w:t>
      </w:r>
    </w:p>
    <w:p>
      <w:pPr>
        <w:pageBreakBefore w:val="0"/>
        <w:kinsoku/>
        <w:wordWrap w:val="0"/>
        <w:overflowPunct/>
        <w:topLinePunct w:val="0"/>
        <w:bidi w:val="0"/>
        <w:adjustRightInd w:val="0"/>
        <w:snapToGrid w:val="0"/>
        <w:spacing w:line="360" w:lineRule="auto"/>
        <w:ind w:firstLine="420" w:firstLineChars="200"/>
        <w:contextualSpacing/>
        <w:textAlignment w:val="baseline"/>
        <w:rPr>
          <w:rFonts w:hint="eastAsia" w:ascii="宋体" w:hAnsi="宋体" w:cs="宋体"/>
          <w:color w:val="auto"/>
          <w:szCs w:val="21"/>
          <w:highlight w:val="none"/>
        </w:rPr>
      </w:pPr>
      <w:r>
        <w:rPr>
          <w:rFonts w:hint="eastAsia" w:ascii="宋体" w:hAnsi="宋体" w:eastAsia="宋体" w:cs="宋体"/>
          <w:color w:val="auto"/>
          <w:kern w:val="0"/>
          <w:sz w:val="21"/>
          <w:szCs w:val="21"/>
          <w:highlight w:val="none"/>
        </w:rPr>
        <w:t>我单位保证上述声明的事项都是真实的，符合《中华人民共和国政府采购法》规定的供应商资格条件。如有弄虚作假，我单位愿意</w:t>
      </w:r>
      <w:r>
        <w:rPr>
          <w:rFonts w:hint="eastAsia" w:ascii="宋体" w:hAnsi="宋体" w:eastAsia="宋体" w:cs="宋体"/>
          <w:color w:val="auto"/>
          <w:kern w:val="0"/>
          <w:sz w:val="21"/>
          <w:szCs w:val="21"/>
          <w:highlight w:val="none"/>
          <w:lang w:eastAsia="zh-CN"/>
        </w:rPr>
        <w:t>按照“</w:t>
      </w:r>
      <w:r>
        <w:rPr>
          <w:rFonts w:hint="eastAsia" w:ascii="宋体" w:hAnsi="宋体" w:eastAsia="宋体" w:cs="宋体"/>
          <w:color w:val="auto"/>
          <w:sz w:val="21"/>
          <w:szCs w:val="21"/>
          <w:highlight w:val="none"/>
        </w:rPr>
        <w:t>提供虚假材料谋取中标、成交</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承担相应的法律责任，</w:t>
      </w:r>
      <w:r>
        <w:rPr>
          <w:rFonts w:hint="eastAsia" w:ascii="宋体" w:hAnsi="宋体" w:eastAsia="宋体" w:cs="宋体"/>
          <w:color w:val="auto"/>
          <w:kern w:val="0"/>
          <w:sz w:val="21"/>
          <w:szCs w:val="21"/>
          <w:highlight w:val="none"/>
          <w:lang w:eastAsia="zh-CN"/>
        </w:rPr>
        <w:t>同意</w:t>
      </w:r>
      <w:r>
        <w:rPr>
          <w:rFonts w:hint="eastAsia" w:ascii="宋体" w:hAnsi="宋体" w:eastAsia="宋体" w:cs="宋体"/>
          <w:color w:val="auto"/>
          <w:kern w:val="0"/>
          <w:sz w:val="21"/>
          <w:szCs w:val="21"/>
          <w:highlight w:val="none"/>
        </w:rPr>
        <w:t>将违背承诺行为作为失信行为记录到社会信用信息平台，并承担因此所造成的一切损失。</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供应商名称（盖章）：                  法定代表人（签字）：</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地址：                                邮政编码：</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供应商授权委托人（签字或盖章）：</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电话：                                传真：</w:t>
      </w:r>
    </w:p>
    <w:p>
      <w:pPr>
        <w:pageBreakBefore w:val="0"/>
        <w:kinsoku/>
        <w:wordWrap w:val="0"/>
        <w:overflowPunct/>
        <w:topLinePunct w:val="0"/>
        <w:bidi w:val="0"/>
        <w:spacing w:line="360" w:lineRule="auto"/>
        <w:ind w:firstLine="640"/>
        <w:rPr>
          <w:rFonts w:hint="eastAsia" w:ascii="宋体" w:hAnsi="宋体" w:cs="宋体"/>
          <w:color w:val="auto"/>
          <w:szCs w:val="21"/>
          <w:highlight w:val="none"/>
        </w:rPr>
      </w:pPr>
      <w:r>
        <w:rPr>
          <w:rFonts w:hint="eastAsia" w:ascii="宋体" w:hAnsi="宋体" w:cs="宋体"/>
          <w:color w:val="auto"/>
          <w:szCs w:val="21"/>
          <w:highlight w:val="none"/>
        </w:rPr>
        <w:t>时 间：   年  月  日</w:t>
      </w:r>
    </w:p>
    <w:p>
      <w:pPr>
        <w:pageBreakBefore w:val="0"/>
        <w:kinsoku/>
        <w:wordWrap w:val="0"/>
        <w:overflowPunct/>
        <w:topLinePunct w:val="0"/>
        <w:bidi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pPr>
        <w:pageBreakBefore w:val="0"/>
        <w:kinsoku/>
        <w:wordWrap w:val="0"/>
        <w:overflowPunct/>
        <w:topLinePunct w:val="0"/>
        <w:bidi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须在</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文件中按此模板提供承诺函，未提供视为未实质性响应招标文件要求，按无效投标处理。</w:t>
      </w:r>
    </w:p>
    <w:p>
      <w:pPr>
        <w:pageBreakBefore w:val="0"/>
        <w:kinsoku/>
        <w:wordWrap w:val="0"/>
        <w:overflowPunct/>
        <w:topLinePunct w:val="0"/>
        <w:bidi w:val="0"/>
        <w:spacing w:line="400" w:lineRule="exact"/>
        <w:rPr>
          <w:rFonts w:hint="eastAsia" w:ascii="宋体" w:hAnsi="宋体" w:cs="宋体"/>
          <w:b/>
          <w:bCs/>
          <w:color w:val="auto"/>
          <w:sz w:val="24"/>
          <w:highlight w:val="none"/>
          <w:u w:val="singl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的法定代表人或者授权代表的签字或盖章应真实、有效。</w:t>
      </w:r>
    </w:p>
    <w:p>
      <w:pPr>
        <w:pageBreakBefore w:val="0"/>
        <w:kinsoku/>
        <w:wordWrap w:val="0"/>
        <w:overflowPunct/>
        <w:topLinePunct w:val="0"/>
        <w:bidi w:val="0"/>
        <w:rPr>
          <w:rFonts w:hint="eastAsia" w:ascii="宋体" w:hAnsi="宋体" w:eastAsia="宋体" w:cs="宋体"/>
          <w:b/>
          <w:bCs/>
          <w:color w:val="auto"/>
          <w:sz w:val="21"/>
          <w:szCs w:val="21"/>
          <w:highlight w:val="none"/>
        </w:rPr>
      </w:pPr>
      <w:r>
        <w:rPr>
          <w:rFonts w:hint="eastAsia" w:asciiTheme="minorEastAsia" w:hAnsiTheme="minorEastAsia" w:eastAsiaTheme="minorEastAsia" w:cstheme="minorEastAsia"/>
          <w:color w:val="auto"/>
          <w:sz w:val="28"/>
          <w:szCs w:val="28"/>
          <w:highlight w:val="none"/>
          <w:lang w:val="en-US"/>
        </w:rPr>
        <w:br w:type="page"/>
      </w:r>
    </w:p>
    <w:p>
      <w:pPr>
        <w:pageBreakBefore w:val="0"/>
        <w:kinsoku/>
        <w:wordWrap w:val="0"/>
        <w:overflowPunct/>
        <w:topLinePunct w:val="0"/>
        <w:bidi w:val="0"/>
        <w:rPr>
          <w:color w:val="auto"/>
          <w:highlight w:val="none"/>
        </w:rPr>
      </w:pPr>
    </w:p>
    <w:p>
      <w:pPr>
        <w:pStyle w:val="3"/>
        <w:pageBreakBefore w:val="0"/>
        <w:kinsoku/>
        <w:wordWrap w:val="0"/>
        <w:overflowPunct/>
        <w:topLinePunct w:val="0"/>
        <w:bidi w:val="0"/>
        <w:jc w:val="center"/>
        <w:outlineLvl w:val="1"/>
        <w:rPr>
          <w:rFonts w:hint="eastAsia"/>
          <w:color w:val="auto"/>
          <w:sz w:val="28"/>
          <w:szCs w:val="28"/>
          <w:highlight w:val="none"/>
        </w:rPr>
      </w:pPr>
      <w:bookmarkStart w:id="342" w:name="_Toc73110519"/>
      <w:bookmarkStart w:id="343" w:name="_Toc74235886"/>
      <w:bookmarkStart w:id="344" w:name="_Toc23579"/>
      <w:r>
        <w:rPr>
          <w:color w:val="auto"/>
          <w:sz w:val="28"/>
          <w:szCs w:val="28"/>
          <w:highlight w:val="none"/>
        </w:rPr>
        <w:t>6</w:t>
      </w:r>
      <w:r>
        <w:rPr>
          <w:rFonts w:hint="eastAsia"/>
          <w:color w:val="auto"/>
          <w:sz w:val="28"/>
          <w:szCs w:val="28"/>
          <w:highlight w:val="none"/>
        </w:rPr>
        <w:t>.</w:t>
      </w:r>
      <w:bookmarkEnd w:id="291"/>
      <w:bookmarkEnd w:id="342"/>
      <w:bookmarkEnd w:id="343"/>
      <w:bookmarkEnd w:id="344"/>
      <w:r>
        <w:rPr>
          <w:rFonts w:hint="eastAsia" w:asciiTheme="minorEastAsia" w:hAnsiTheme="minorEastAsia" w:eastAsiaTheme="minorEastAsia" w:cstheme="minorEastAsia"/>
          <w:b/>
          <w:bCs/>
          <w:color w:val="auto"/>
          <w:sz w:val="28"/>
          <w:szCs w:val="28"/>
          <w:highlight w:val="none"/>
          <w:lang w:val="en-US"/>
        </w:rPr>
        <w:t>磋商承诺函</w:t>
      </w:r>
    </w:p>
    <w:p>
      <w:pPr>
        <w:pageBreakBefore w:val="0"/>
        <w:kinsoku/>
        <w:wordWrap w:val="0"/>
        <w:overflowPunct/>
        <w:topLinePunct w:val="0"/>
        <w:bidi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致：</w:t>
      </w:r>
      <w:r>
        <w:rPr>
          <w:rFonts w:hint="eastAsia" w:ascii="宋体" w:hAnsi="宋体" w:cs="宋体"/>
          <w:b/>
          <w:bCs/>
          <w:color w:val="auto"/>
          <w:sz w:val="24"/>
          <w:highlight w:val="none"/>
          <w:u w:val="single"/>
        </w:rPr>
        <w:t>河南弘程工程咨询有限公司</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根据《河南省财政厅关于优化政府采购营商环境有关问题的通知》（豫财购[2019]4号），自2019年8月1日起，在全省政府采购货物和服务招标投标活动中，不再向供应商收取投标保证金，非招标采购方式采购货物、工程和服务的，也不再向供应商收取投标（磋商）保证金，供应商以投标（磋商）承诺函的形式替代投标（磋商）保证金。因此，在本次</w:t>
      </w:r>
      <w:r>
        <w:rPr>
          <w:rFonts w:hint="eastAsia" w:ascii="宋体" w:hAnsi="宋体" w:cs="宋体"/>
          <w:b/>
          <w:bCs/>
          <w:color w:val="auto"/>
          <w:sz w:val="24"/>
          <w:highlight w:val="none"/>
          <w:u w:val="single"/>
        </w:rPr>
        <w:t>（</w:t>
      </w:r>
      <w:r>
        <w:rPr>
          <w:rFonts w:hint="eastAsia" w:cs="宋体"/>
          <w:b/>
          <w:bCs/>
          <w:color w:val="auto"/>
          <w:sz w:val="24"/>
          <w:highlight w:val="none"/>
          <w:u w:val="single"/>
          <w:lang w:eastAsia="zh-CN"/>
        </w:rPr>
        <w:t>郑州中学大数据智能教学终端设备采购项目、【高新竞争性磋商采购[2023]24号】</w:t>
      </w:r>
      <w:r>
        <w:rPr>
          <w:rFonts w:hint="eastAsia" w:ascii="宋体" w:hAnsi="宋体" w:cs="宋体"/>
          <w:color w:val="auto"/>
          <w:sz w:val="24"/>
          <w:highlight w:val="none"/>
        </w:rPr>
        <w:t>投标过程中，我公司郑重承诺：</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1、我公司提供的所有文件材料，均是真实的。</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2、在磋商有效期内我公司保证不撤回投标。</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如果我公司成交，我公司承诺在成交通知书发出之日起7天内向河南弘程工程咨询有限公司交纳足额的成交服务费。若没有按时足额缴纳成交服务费，每逾期一日，我方按照成交服务费的千分之一支付违约金；同时，承担河南弘程工程咨询有限公司因追索成交服务费而支付的诉讼费、律师代理费、差旅费等一切费用；河南弘程工程咨询有限公司有权利向代理公司所在地依法向有管辖权的人民法院提起诉讼。</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4、如果我公司成交，我公司将严格按照磋商文件的要求和响应文件的承诺，在规定时间内签订合同并履行合同。</w:t>
      </w:r>
    </w:p>
    <w:p>
      <w:pPr>
        <w:pageBreakBefore w:val="0"/>
        <w:kinsoku/>
        <w:wordWrap w:val="0"/>
        <w:overflowPunct/>
        <w:topLinePunct w:val="0"/>
        <w:bidi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如果违反上述承诺，招标代理机构有权在代理公司所在地向有管辖权的人民法院追究责任外，在3年内我公司自愿放弃参加河南弘程工程咨询有限公司组织的政府采购活动。</w:t>
      </w:r>
    </w:p>
    <w:p>
      <w:pPr>
        <w:pageBreakBefore w:val="0"/>
        <w:kinsoku/>
        <w:wordWrap w:val="0"/>
        <w:overflowPunct/>
        <w:topLinePunct w:val="0"/>
        <w:bidi w:val="0"/>
        <w:jc w:val="left"/>
        <w:rPr>
          <w:rFonts w:hint="eastAsia" w:ascii="宋体" w:hAnsi="宋体" w:cs="宋体"/>
          <w:color w:val="auto"/>
          <w:sz w:val="24"/>
          <w:highlight w:val="none"/>
        </w:rPr>
      </w:pPr>
    </w:p>
    <w:p>
      <w:pPr>
        <w:pageBreakBefore w:val="0"/>
        <w:kinsoku/>
        <w:wordWrap w:val="0"/>
        <w:overflowPunct/>
        <w:topLinePunct w:val="0"/>
        <w:bidi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法定代表人（签字）：</w:t>
      </w:r>
    </w:p>
    <w:p>
      <w:pPr>
        <w:pageBreakBefore w:val="0"/>
        <w:kinsoku/>
        <w:wordWrap w:val="0"/>
        <w:overflowPunct/>
        <w:topLinePunct w:val="0"/>
        <w:bidi w:val="0"/>
        <w:spacing w:line="360" w:lineRule="auto"/>
        <w:rPr>
          <w:rFonts w:hint="eastAsia" w:ascii="宋体" w:hAnsi="宋体" w:cs="宋体"/>
          <w:color w:val="auto"/>
          <w:sz w:val="24"/>
          <w:highlight w:val="none"/>
        </w:rPr>
      </w:pPr>
    </w:p>
    <w:p>
      <w:pPr>
        <w:pageBreakBefore w:val="0"/>
        <w:kinsoku/>
        <w:wordWrap w:val="0"/>
        <w:overflowPunct/>
        <w:topLinePunct w:val="0"/>
        <w:bidi w:val="0"/>
        <w:spacing w:line="360" w:lineRule="auto"/>
        <w:rPr>
          <w:rFonts w:hint="eastAsia" w:ascii="宋体" w:hAnsi="宋体" w:cs="宋体"/>
          <w:color w:val="auto"/>
          <w:sz w:val="24"/>
          <w:highlight w:val="none"/>
        </w:rPr>
      </w:pPr>
      <w:r>
        <w:rPr>
          <w:rFonts w:hint="eastAsia" w:ascii="宋体" w:hAnsi="宋体" w:cs="宋体"/>
          <w:color w:val="auto"/>
          <w:sz w:val="24"/>
          <w:highlight w:val="none"/>
        </w:rPr>
        <w:t>授权委托人（签字或盖章）：</w:t>
      </w:r>
    </w:p>
    <w:p>
      <w:pPr>
        <w:pageBreakBefore w:val="0"/>
        <w:kinsoku/>
        <w:wordWrap w:val="0"/>
        <w:overflowPunct/>
        <w:topLinePunct w:val="0"/>
        <w:bidi w:val="0"/>
        <w:spacing w:line="360" w:lineRule="auto"/>
        <w:rPr>
          <w:rFonts w:hint="eastAsia" w:ascii="宋体" w:hAnsi="宋体" w:cs="宋体"/>
          <w:color w:val="auto"/>
          <w:sz w:val="24"/>
          <w:highlight w:val="none"/>
        </w:rPr>
      </w:pPr>
    </w:p>
    <w:p>
      <w:pPr>
        <w:pageBreakBefore w:val="0"/>
        <w:kinsoku/>
        <w:wordWrap w:val="0"/>
        <w:overflowPunct/>
        <w:topLinePunct w:val="0"/>
        <w:bidi w:val="0"/>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供应商(盖章)：</w:t>
      </w:r>
      <w:r>
        <w:rPr>
          <w:rFonts w:hint="eastAsia" w:ascii="宋体" w:hAnsi="宋体" w:cs="宋体"/>
          <w:color w:val="auto"/>
          <w:sz w:val="24"/>
          <w:highlight w:val="none"/>
        </w:rPr>
        <w:tab/>
      </w:r>
      <w:r>
        <w:rPr>
          <w:rFonts w:hint="eastAsia" w:ascii="宋体" w:hAnsi="宋体" w:cs="宋体"/>
          <w:color w:val="auto"/>
          <w:sz w:val="24"/>
          <w:highlight w:val="none"/>
        </w:rPr>
        <w:tab/>
      </w:r>
    </w:p>
    <w:p>
      <w:pPr>
        <w:pageBreakBefore w:val="0"/>
        <w:kinsoku/>
        <w:wordWrap w:val="0"/>
        <w:overflowPunct/>
        <w:topLinePunct w:val="0"/>
        <w:bidi w:val="0"/>
        <w:rPr>
          <w:rFonts w:hint="eastAsia" w:ascii="宋体" w:hAnsi="宋体" w:cs="宋体"/>
          <w:color w:val="auto"/>
          <w:sz w:val="24"/>
          <w:highlight w:val="none"/>
        </w:rPr>
      </w:pPr>
    </w:p>
    <w:p>
      <w:pPr>
        <w:pageBreakBefore w:val="0"/>
        <w:kinsoku/>
        <w:wordWrap w:val="0"/>
        <w:overflowPunct/>
        <w:topLinePunct w:val="0"/>
        <w:bidi w:val="0"/>
        <w:rPr>
          <w:rFonts w:hint="eastAsia"/>
          <w:color w:val="auto"/>
          <w:highlight w:val="none"/>
        </w:rPr>
      </w:pPr>
      <w:r>
        <w:rPr>
          <w:rFonts w:hint="eastAsia" w:ascii="宋体" w:hAnsi="宋体" w:cs="宋体"/>
          <w:color w:val="auto"/>
          <w:sz w:val="24"/>
          <w:highlight w:val="none"/>
        </w:rPr>
        <w:t>年  月  日</w:t>
      </w:r>
    </w:p>
    <w:p>
      <w:pPr>
        <w:pStyle w:val="3"/>
        <w:pageBreakBefore w:val="0"/>
        <w:kinsoku/>
        <w:wordWrap w:val="0"/>
        <w:overflowPunct/>
        <w:topLinePunct w:val="0"/>
        <w:bidi w:val="0"/>
        <w:jc w:val="center"/>
        <w:outlineLvl w:val="1"/>
        <w:rPr>
          <w:color w:val="auto"/>
          <w:sz w:val="28"/>
          <w:szCs w:val="28"/>
          <w:highlight w:val="none"/>
        </w:rPr>
      </w:pPr>
      <w:r>
        <w:rPr>
          <w:color w:val="auto"/>
          <w:highlight w:val="none"/>
        </w:rPr>
        <w:br w:type="page"/>
      </w:r>
      <w:bookmarkStart w:id="345" w:name="_Toc74235887"/>
      <w:bookmarkStart w:id="346" w:name="_Toc8294"/>
      <w:bookmarkStart w:id="347" w:name="_Toc73110520"/>
      <w:bookmarkStart w:id="348" w:name="_Toc501722303"/>
      <w:bookmarkStart w:id="349" w:name="_Toc390963792"/>
      <w:r>
        <w:rPr>
          <w:rFonts w:hint="eastAsia"/>
          <w:color w:val="auto"/>
          <w:sz w:val="28"/>
          <w:szCs w:val="28"/>
          <w:highlight w:val="none"/>
        </w:rPr>
        <w:t>7.主要货物规格一览表</w:t>
      </w:r>
      <w:bookmarkEnd w:id="345"/>
      <w:bookmarkEnd w:id="346"/>
      <w:bookmarkEnd w:id="347"/>
      <w:bookmarkEnd w:id="348"/>
      <w:bookmarkEnd w:id="349"/>
    </w:p>
    <w:p>
      <w:pPr>
        <w:pageBreakBefore w:val="0"/>
        <w:kinsoku/>
        <w:wordWrap w:val="0"/>
        <w:overflowPunct/>
        <w:topLinePunct w:val="0"/>
        <w:bidi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pPr>
        <w:pageBreakBefore w:val="0"/>
        <w:kinsoku/>
        <w:wordWrap w:val="0"/>
        <w:overflowPunct/>
        <w:topLinePunct w:val="0"/>
        <w:bidi w:val="0"/>
        <w:spacing w:line="360" w:lineRule="auto"/>
        <w:rPr>
          <w:rFonts w:ascii="宋体" w:hAnsi="宋体" w:cs="宋体"/>
          <w:color w:val="auto"/>
          <w:szCs w:val="21"/>
          <w:highlight w:val="none"/>
        </w:rPr>
      </w:pPr>
      <w:r>
        <w:rPr>
          <w:rFonts w:hint="eastAsia" w:ascii="宋体" w:hAnsi="宋体" w:cs="宋体"/>
          <w:color w:val="auto"/>
          <w:szCs w:val="21"/>
          <w:highlight w:val="none"/>
        </w:rPr>
        <w:t>报价单位：人民币元</w:t>
      </w:r>
    </w:p>
    <w:tbl>
      <w:tblPr>
        <w:tblStyle w:val="26"/>
        <w:tblW w:w="9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0"/>
        <w:gridCol w:w="1895"/>
        <w:gridCol w:w="1895"/>
        <w:gridCol w:w="3056"/>
        <w:gridCol w:w="15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设备名称</w:t>
            </w: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品牌型号</w:t>
            </w: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规格及技术参数</w:t>
            </w: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生厂商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5" w:hRule="atLeast"/>
          <w:jc w:val="center"/>
        </w:trPr>
        <w:tc>
          <w:tcPr>
            <w:tcW w:w="11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89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3056"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507"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bl>
    <w:p>
      <w:pPr>
        <w:pageBreakBefore w:val="0"/>
        <w:kinsoku/>
        <w:wordWrap w:val="0"/>
        <w:overflowPunct/>
        <w:topLinePunct w:val="0"/>
        <w:bidi w:val="0"/>
        <w:spacing w:line="360" w:lineRule="auto"/>
        <w:rPr>
          <w:rFonts w:ascii="宋体" w:hAnsi="宋体" w:cs="宋体"/>
          <w:color w:val="auto"/>
          <w:szCs w:val="21"/>
          <w:highlight w:val="none"/>
        </w:rPr>
      </w:pP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供应商法定代表人或其授权委托人（签字或盖章）：</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供应商(盖单位公章)：</w:t>
      </w:r>
    </w:p>
    <w:p>
      <w:pPr>
        <w:pageBreakBefore w:val="0"/>
        <w:kinsoku/>
        <w:wordWrap w:val="0"/>
        <w:overflowPunct/>
        <w:topLinePunct w:val="0"/>
        <w:bidi w:val="0"/>
        <w:spacing w:line="360" w:lineRule="auto"/>
        <w:rPr>
          <w:rFonts w:hint="eastAsia"/>
          <w:color w:val="auto"/>
          <w:szCs w:val="21"/>
          <w:highlight w:val="none"/>
        </w:rPr>
      </w:pPr>
      <w:r>
        <w:rPr>
          <w:rFonts w:hint="eastAsia" w:ascii="宋体" w:hAnsi="宋体" w:cs="宋体"/>
          <w:color w:val="auto"/>
          <w:szCs w:val="21"/>
          <w:highlight w:val="none"/>
        </w:rPr>
        <w:t>日期：</w:t>
      </w:r>
    </w:p>
    <w:p>
      <w:pPr>
        <w:pageBreakBefore w:val="0"/>
        <w:kinsoku/>
        <w:wordWrap w:val="0"/>
        <w:overflowPunct/>
        <w:topLinePunct w:val="0"/>
        <w:bidi w:val="0"/>
        <w:spacing w:line="360" w:lineRule="auto"/>
        <w:rPr>
          <w:rFonts w:ascii="宋体" w:hAnsi="宋体" w:cs="宋体"/>
          <w:color w:val="auto"/>
          <w:szCs w:val="21"/>
          <w:highlight w:val="none"/>
        </w:rPr>
      </w:pPr>
      <w:r>
        <w:rPr>
          <w:rFonts w:hint="eastAsia" w:ascii="宋体" w:hAnsi="宋体" w:cs="宋体"/>
          <w:color w:val="auto"/>
          <w:szCs w:val="21"/>
          <w:highlight w:val="none"/>
        </w:rPr>
        <w:t>注：设备规格参数可另作说明，可对货物的特性和优点作详细的文字说明</w:t>
      </w:r>
    </w:p>
    <w:p>
      <w:pPr>
        <w:pageBreakBefore w:val="0"/>
        <w:kinsoku/>
        <w:wordWrap w:val="0"/>
        <w:overflowPunct/>
        <w:topLinePunct w:val="0"/>
        <w:bidi w:val="0"/>
        <w:spacing w:line="360" w:lineRule="auto"/>
        <w:jc w:val="center"/>
        <w:rPr>
          <w:rFonts w:ascii="宋体" w:hAnsi="宋体" w:cs="宋体"/>
          <w:color w:val="auto"/>
          <w:sz w:val="24"/>
          <w:highlight w:val="none"/>
        </w:rPr>
      </w:pPr>
    </w:p>
    <w:p>
      <w:pPr>
        <w:pageBreakBefore w:val="0"/>
        <w:kinsoku/>
        <w:wordWrap w:val="0"/>
        <w:overflowPunct/>
        <w:topLinePunct w:val="0"/>
        <w:bidi w:val="0"/>
        <w:spacing w:line="360" w:lineRule="auto"/>
        <w:jc w:val="center"/>
        <w:rPr>
          <w:rFonts w:ascii="宋体" w:hAnsi="宋体" w:cs="宋体"/>
          <w:color w:val="auto"/>
          <w:sz w:val="24"/>
          <w:highlight w:val="none"/>
        </w:rPr>
      </w:pPr>
    </w:p>
    <w:p>
      <w:pPr>
        <w:pageBreakBefore w:val="0"/>
        <w:kinsoku/>
        <w:wordWrap w:val="0"/>
        <w:overflowPunct/>
        <w:topLinePunct w:val="0"/>
        <w:bidi w:val="0"/>
        <w:spacing w:line="360" w:lineRule="auto"/>
        <w:jc w:val="center"/>
        <w:rPr>
          <w:rFonts w:ascii="宋体" w:hAnsi="宋体" w:cs="宋体"/>
          <w:color w:val="auto"/>
          <w:sz w:val="24"/>
          <w:highlight w:val="none"/>
        </w:rPr>
      </w:pPr>
    </w:p>
    <w:p>
      <w:pPr>
        <w:pStyle w:val="3"/>
        <w:pageBreakBefore w:val="0"/>
        <w:kinsoku/>
        <w:wordWrap w:val="0"/>
        <w:overflowPunct/>
        <w:topLinePunct w:val="0"/>
        <w:bidi w:val="0"/>
        <w:jc w:val="center"/>
        <w:outlineLvl w:val="1"/>
        <w:rPr>
          <w:color w:val="auto"/>
          <w:sz w:val="28"/>
          <w:szCs w:val="28"/>
          <w:highlight w:val="none"/>
        </w:rPr>
      </w:pPr>
      <w:r>
        <w:rPr>
          <w:rFonts w:hint="eastAsia"/>
          <w:color w:val="auto"/>
          <w:sz w:val="24"/>
          <w:szCs w:val="24"/>
          <w:highlight w:val="none"/>
        </w:rPr>
        <w:br w:type="page"/>
      </w:r>
      <w:bookmarkStart w:id="350" w:name="_Toc501722304"/>
      <w:bookmarkStart w:id="351" w:name="_Toc74235888"/>
      <w:bookmarkStart w:id="352" w:name="_Toc390963793"/>
      <w:bookmarkStart w:id="353" w:name="_Toc3827"/>
      <w:bookmarkStart w:id="354" w:name="_Toc73110521"/>
      <w:r>
        <w:rPr>
          <w:rFonts w:hint="eastAsia"/>
          <w:color w:val="auto"/>
          <w:sz w:val="28"/>
          <w:szCs w:val="28"/>
          <w:highlight w:val="none"/>
        </w:rPr>
        <w:t>8.技术规格偏差表</w:t>
      </w:r>
      <w:bookmarkEnd w:id="350"/>
      <w:bookmarkEnd w:id="351"/>
      <w:bookmarkEnd w:id="352"/>
      <w:bookmarkEnd w:id="353"/>
      <w:bookmarkEnd w:id="354"/>
    </w:p>
    <w:p>
      <w:pPr>
        <w:pageBreakBefore w:val="0"/>
        <w:kinsoku/>
        <w:wordWrap w:val="0"/>
        <w:overflowPunct/>
        <w:topLinePunct w:val="0"/>
        <w:bidi w:val="0"/>
        <w:spacing w:line="360" w:lineRule="auto"/>
        <w:jc w:val="center"/>
        <w:rPr>
          <w:rFonts w:ascii="宋体" w:hAnsi="宋体" w:cs="宋体"/>
          <w:color w:val="auto"/>
          <w:sz w:val="24"/>
          <w:highlight w:val="none"/>
        </w:rPr>
      </w:pPr>
    </w:p>
    <w:p>
      <w:pPr>
        <w:pageBreakBefore w:val="0"/>
        <w:kinsoku/>
        <w:wordWrap w:val="0"/>
        <w:overflowPunct/>
        <w:topLinePunct w:val="0"/>
        <w:bidi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pPr>
        <w:pageBreakBefore w:val="0"/>
        <w:kinsoku/>
        <w:wordWrap w:val="0"/>
        <w:overflowPunct/>
        <w:topLinePunct w:val="0"/>
        <w:bidi w:val="0"/>
        <w:spacing w:line="360" w:lineRule="auto"/>
        <w:rPr>
          <w:rFonts w:hint="eastAsia" w:ascii="宋体" w:hAnsi="宋体" w:cs="宋体"/>
          <w:color w:val="auto"/>
          <w:szCs w:val="21"/>
          <w:highlight w:val="none"/>
          <w:u w:val="single"/>
        </w:rPr>
      </w:pPr>
    </w:p>
    <w:tbl>
      <w:tblPr>
        <w:tblStyle w:val="26"/>
        <w:tblW w:w="9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2663"/>
        <w:gridCol w:w="1615"/>
        <w:gridCol w:w="1320"/>
        <w:gridCol w:w="1321"/>
        <w:gridCol w:w="1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货物名称或招标招标文件条款号</w:t>
            </w: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招标规格</w:t>
            </w: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投标规格</w:t>
            </w: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偏差</w:t>
            </w: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w:t>
            </w: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技术规格</w:t>
            </w: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1.1</w:t>
            </w: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参数名称</w:t>
            </w: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r>
              <w:rPr>
                <w:rFonts w:hint="eastAsia" w:ascii="宋体" w:hAnsi="宋体" w:cs="宋体"/>
                <w:color w:val="auto"/>
                <w:szCs w:val="21"/>
                <w:highlight w:val="none"/>
              </w:rPr>
              <w:t>……</w:t>
            </w: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7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2663"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615"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321"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c>
          <w:tcPr>
            <w:tcW w:w="1270" w:type="dxa"/>
            <w:noWrap w:val="0"/>
            <w:vAlign w:val="center"/>
          </w:tcPr>
          <w:p>
            <w:pPr>
              <w:pageBreakBefore w:val="0"/>
              <w:widowControl/>
              <w:kinsoku/>
              <w:wordWrap w:val="0"/>
              <w:overflowPunct/>
              <w:topLinePunct w:val="0"/>
              <w:bidi w:val="0"/>
              <w:spacing w:line="400" w:lineRule="exact"/>
              <w:jc w:val="center"/>
              <w:rPr>
                <w:rFonts w:ascii="宋体" w:hAnsi="宋体" w:cs="宋体"/>
                <w:color w:val="auto"/>
                <w:szCs w:val="21"/>
                <w:highlight w:val="none"/>
              </w:rPr>
            </w:pPr>
          </w:p>
        </w:tc>
      </w:tr>
    </w:tbl>
    <w:p>
      <w:pPr>
        <w:pageBreakBefore w:val="0"/>
        <w:kinsoku/>
        <w:wordWrap w:val="0"/>
        <w:overflowPunct/>
        <w:topLinePunct w:val="0"/>
        <w:bidi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说明：</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1、表中“招标规格”一栏需严格按招标文件第五章中技术参数的顺序及内容逐项填写，不得私自修改技术参数。</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2、表中“投标规格”一栏供应商须根据“招标规格”要求的技术参数填写所投产品此条款的实际规格性能，需逐项如实填写。</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表中“偏差”一栏中供应商对所投产品的“招标规格”与“投标规格”进行对比后填写偏差说明。（如：无偏离请填写“符合”的字样；正偏差请填写“正偏差”字样并对正偏差进行具体说明；负偏差请填写“负偏差”字样并对负偏差进行具体说明。）</w:t>
      </w:r>
    </w:p>
    <w:p>
      <w:pPr>
        <w:pageBreakBefore w:val="0"/>
        <w:kinsoku/>
        <w:wordWrap w:val="0"/>
        <w:overflowPunct/>
        <w:topLinePunct w:val="0"/>
        <w:bidi w:val="0"/>
        <w:spacing w:line="360" w:lineRule="auto"/>
        <w:jc w:val="left"/>
        <w:rPr>
          <w:rFonts w:ascii="宋体" w:hAnsi="宋体" w:cs="宋体"/>
          <w:color w:val="auto"/>
          <w:szCs w:val="21"/>
          <w:highlight w:val="none"/>
        </w:rPr>
      </w:pP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供应商法定代表人或其授权委托人（签字或盖章）：</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供应商(盖单位公章)：</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日期：</w:t>
      </w:r>
    </w:p>
    <w:p>
      <w:pPr>
        <w:pageBreakBefore w:val="0"/>
        <w:kinsoku/>
        <w:wordWrap w:val="0"/>
        <w:overflowPunct/>
        <w:topLinePunct w:val="0"/>
        <w:bidi w:val="0"/>
        <w:spacing w:line="360" w:lineRule="auto"/>
        <w:jc w:val="center"/>
        <w:rPr>
          <w:rFonts w:ascii="宋体" w:hAnsi="宋体" w:cs="宋体"/>
          <w:color w:val="auto"/>
          <w:sz w:val="24"/>
          <w:highlight w:val="none"/>
        </w:rPr>
      </w:pPr>
    </w:p>
    <w:p>
      <w:pPr>
        <w:rPr>
          <w:color w:val="auto"/>
          <w:sz w:val="28"/>
          <w:szCs w:val="28"/>
          <w:highlight w:val="none"/>
        </w:rPr>
      </w:pPr>
      <w:bookmarkStart w:id="355" w:name="_Toc74235889"/>
      <w:bookmarkStart w:id="356" w:name="_Toc73110522"/>
      <w:r>
        <w:rPr>
          <w:color w:val="auto"/>
          <w:sz w:val="28"/>
          <w:szCs w:val="28"/>
          <w:highlight w:val="none"/>
        </w:rPr>
        <w:br w:type="page"/>
      </w:r>
    </w:p>
    <w:p>
      <w:pPr>
        <w:pStyle w:val="3"/>
        <w:pageBreakBefore w:val="0"/>
        <w:kinsoku/>
        <w:wordWrap w:val="0"/>
        <w:overflowPunct/>
        <w:topLinePunct w:val="0"/>
        <w:bidi w:val="0"/>
        <w:jc w:val="center"/>
        <w:outlineLvl w:val="1"/>
        <w:rPr>
          <w:color w:val="auto"/>
          <w:sz w:val="28"/>
          <w:szCs w:val="28"/>
          <w:highlight w:val="none"/>
        </w:rPr>
      </w:pPr>
      <w:r>
        <w:rPr>
          <w:color w:val="auto"/>
          <w:sz w:val="28"/>
          <w:szCs w:val="28"/>
          <w:highlight w:val="none"/>
        </w:rPr>
        <w:t>9</w:t>
      </w:r>
      <w:r>
        <w:rPr>
          <w:rFonts w:hint="eastAsia"/>
          <w:color w:val="auto"/>
          <w:sz w:val="28"/>
          <w:szCs w:val="28"/>
          <w:highlight w:val="none"/>
        </w:rPr>
        <w:t>.</w:t>
      </w:r>
      <w:bookmarkStart w:id="357" w:name="_Toc5643"/>
      <w:bookmarkStart w:id="358" w:name="_Toc491157419"/>
      <w:r>
        <w:rPr>
          <w:rFonts w:hint="eastAsia"/>
          <w:color w:val="auto"/>
          <w:sz w:val="28"/>
          <w:szCs w:val="28"/>
          <w:highlight w:val="none"/>
        </w:rPr>
        <w:t>反商业贿赂承诺书</w:t>
      </w:r>
      <w:bookmarkEnd w:id="355"/>
      <w:bookmarkEnd w:id="356"/>
      <w:bookmarkEnd w:id="357"/>
      <w:bookmarkEnd w:id="358"/>
    </w:p>
    <w:p>
      <w:pPr>
        <w:pageBreakBefore w:val="0"/>
        <w:kinsoku/>
        <w:wordWrap w:val="0"/>
        <w:overflowPunct/>
        <w:topLinePunct w:val="0"/>
        <w:bidi w:val="0"/>
        <w:rPr>
          <w:rFonts w:hint="eastAsia"/>
          <w:color w:val="auto"/>
          <w:highlight w:val="none"/>
        </w:rPr>
      </w:pPr>
    </w:p>
    <w:p>
      <w:pPr>
        <w:pageBreakBefore w:val="0"/>
        <w:kinsoku/>
        <w:wordWrap w:val="0"/>
        <w:overflowPunct/>
        <w:topLinePunct w:val="0"/>
        <w:bidi w:val="0"/>
        <w:spacing w:line="600" w:lineRule="exact"/>
        <w:rPr>
          <w:rFonts w:hint="eastAsia" w:ascii="宋体" w:hAnsi="宋体" w:cs="宋体"/>
          <w:color w:val="auto"/>
          <w:szCs w:val="21"/>
          <w:highlight w:val="none"/>
        </w:rPr>
      </w:pPr>
      <w:r>
        <w:rPr>
          <w:rFonts w:hint="eastAsia" w:ascii="宋体" w:hAnsi="宋体" w:cs="宋体"/>
          <w:color w:val="auto"/>
          <w:szCs w:val="21"/>
          <w:highlight w:val="none"/>
        </w:rPr>
        <w:t>我公司承诺：</w:t>
      </w:r>
    </w:p>
    <w:p>
      <w:pPr>
        <w:pageBreakBefore w:val="0"/>
        <w:kinsoku/>
        <w:wordWrap w:val="0"/>
        <w:overflowPunct/>
        <w:topLinePunct w:val="0"/>
        <w:bidi w:val="0"/>
        <w:spacing w:line="60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在本次招标活动中，我公司保证做到：</w:t>
      </w:r>
    </w:p>
    <w:p>
      <w:pPr>
        <w:pageBreakBefore w:val="0"/>
        <w:kinsoku/>
        <w:wordWrap w:val="0"/>
        <w:overflowPunct/>
        <w:topLinePunct w:val="0"/>
        <w:bidi w:val="0"/>
        <w:spacing w:line="60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一、公平竞争参加本次招标活动。</w:t>
      </w:r>
    </w:p>
    <w:p>
      <w:pPr>
        <w:pageBreakBefore w:val="0"/>
        <w:kinsoku/>
        <w:wordWrap w:val="0"/>
        <w:overflowPunct/>
        <w:topLinePunct w:val="0"/>
        <w:bidi w:val="0"/>
        <w:spacing w:line="60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pageBreakBefore w:val="0"/>
        <w:kinsoku/>
        <w:wordWrap w:val="0"/>
        <w:overflowPunct/>
        <w:topLinePunct w:val="0"/>
        <w:bidi w:val="0"/>
        <w:spacing w:line="60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三、若出现上述行为，我公司及参与投标的工作人员愿意接受按照国家法律法规等有关规定给予的处罚。</w:t>
      </w:r>
    </w:p>
    <w:p>
      <w:pPr>
        <w:pageBreakBefore w:val="0"/>
        <w:kinsoku/>
        <w:wordWrap w:val="0"/>
        <w:overflowPunct/>
        <w:topLinePunct w:val="0"/>
        <w:bidi w:val="0"/>
        <w:spacing w:line="600" w:lineRule="exact"/>
        <w:rPr>
          <w:rFonts w:hint="eastAsia" w:ascii="宋体" w:hAnsi="宋体" w:cs="宋体"/>
          <w:color w:val="auto"/>
          <w:sz w:val="24"/>
          <w:highlight w:val="none"/>
        </w:rPr>
      </w:pPr>
    </w:p>
    <w:p>
      <w:pPr>
        <w:pageBreakBefore w:val="0"/>
        <w:kinsoku/>
        <w:wordWrap w:val="0"/>
        <w:overflowPunct/>
        <w:topLinePunct w:val="0"/>
        <w:bidi w:val="0"/>
        <w:spacing w:line="600" w:lineRule="exact"/>
        <w:rPr>
          <w:rFonts w:hint="eastAsia" w:ascii="宋体" w:hAnsi="宋体" w:cs="宋体"/>
          <w:color w:val="auto"/>
          <w:sz w:val="24"/>
          <w:highlight w:val="none"/>
        </w:rPr>
      </w:pPr>
    </w:p>
    <w:p>
      <w:pPr>
        <w:pageBreakBefore w:val="0"/>
        <w:kinsoku/>
        <w:wordWrap w:val="0"/>
        <w:overflowPunct/>
        <w:topLinePunct w:val="0"/>
        <w:bidi w:val="0"/>
        <w:spacing w:line="600" w:lineRule="exact"/>
        <w:rPr>
          <w:rFonts w:hint="eastAsia" w:ascii="宋体" w:hAnsi="宋体" w:cs="宋体"/>
          <w:color w:val="auto"/>
          <w:sz w:val="24"/>
          <w:highlight w:val="none"/>
        </w:rPr>
      </w:pPr>
    </w:p>
    <w:p>
      <w:pPr>
        <w:pageBreakBefore w:val="0"/>
        <w:kinsoku/>
        <w:wordWrap w:val="0"/>
        <w:overflowPunct/>
        <w:topLinePunct w:val="0"/>
        <w:bidi w:val="0"/>
        <w:spacing w:line="600" w:lineRule="exact"/>
        <w:rPr>
          <w:rFonts w:hint="eastAsia" w:ascii="宋体" w:hAnsi="宋体" w:cs="宋体"/>
          <w:color w:val="auto"/>
          <w:sz w:val="24"/>
          <w:highlight w:val="none"/>
        </w:rPr>
      </w:pPr>
    </w:p>
    <w:p>
      <w:pPr>
        <w:pageBreakBefore w:val="0"/>
        <w:kinsoku/>
        <w:wordWrap w:val="0"/>
        <w:overflowPunct/>
        <w:topLinePunct w:val="0"/>
        <w:bidi w:val="0"/>
        <w:spacing w:line="600" w:lineRule="exact"/>
        <w:rPr>
          <w:rFonts w:hint="eastAsia" w:ascii="宋体" w:hAnsi="宋体" w:cs="宋体"/>
          <w:color w:val="auto"/>
          <w:sz w:val="24"/>
          <w:highlight w:val="none"/>
        </w:rPr>
      </w:pPr>
    </w:p>
    <w:p>
      <w:pPr>
        <w:pageBreakBefore w:val="0"/>
        <w:kinsoku/>
        <w:wordWrap w:val="0"/>
        <w:overflowPunct/>
        <w:topLinePunct w:val="0"/>
        <w:bidi w:val="0"/>
        <w:spacing w:line="600" w:lineRule="exact"/>
        <w:jc w:val="center"/>
        <w:rPr>
          <w:rFonts w:ascii="宋体" w:hAnsi="宋体" w:cs="宋体"/>
          <w:color w:val="auto"/>
          <w:szCs w:val="21"/>
          <w:highlight w:val="none"/>
        </w:rPr>
      </w:pPr>
      <w:r>
        <w:rPr>
          <w:rFonts w:hint="eastAsia" w:ascii="宋体" w:hAnsi="宋体" w:cs="宋体"/>
          <w:color w:val="auto"/>
          <w:szCs w:val="21"/>
          <w:highlight w:val="none"/>
        </w:rPr>
        <w:t xml:space="preserve">             供应商法定代表人或其授权委托人（签字或盖章）</w:t>
      </w:r>
    </w:p>
    <w:p>
      <w:pPr>
        <w:pageBreakBefore w:val="0"/>
        <w:kinsoku/>
        <w:wordWrap w:val="0"/>
        <w:overflowPunct/>
        <w:topLinePunct w:val="0"/>
        <w:bidi w:val="0"/>
        <w:spacing w:line="600" w:lineRule="exact"/>
        <w:jc w:val="center"/>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供应商（盖单位公章）</w:t>
      </w:r>
    </w:p>
    <w:p>
      <w:pPr>
        <w:pageBreakBefore w:val="0"/>
        <w:kinsoku/>
        <w:wordWrap w:val="0"/>
        <w:overflowPunct/>
        <w:topLinePunct w:val="0"/>
        <w:bidi w:val="0"/>
        <w:spacing w:line="600" w:lineRule="exact"/>
        <w:jc w:val="center"/>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p>
      <w:pPr>
        <w:pStyle w:val="3"/>
        <w:pageBreakBefore w:val="0"/>
        <w:kinsoku/>
        <w:wordWrap w:val="0"/>
        <w:overflowPunct/>
        <w:topLinePunct w:val="0"/>
        <w:bidi w:val="0"/>
        <w:jc w:val="center"/>
        <w:outlineLvl w:val="1"/>
        <w:rPr>
          <w:rFonts w:hint="eastAsia"/>
          <w:color w:val="auto"/>
          <w:sz w:val="28"/>
          <w:szCs w:val="28"/>
          <w:highlight w:val="none"/>
        </w:rPr>
      </w:pPr>
      <w:r>
        <w:rPr>
          <w:color w:val="auto"/>
          <w:sz w:val="24"/>
          <w:highlight w:val="none"/>
        </w:rPr>
        <w:br w:type="page"/>
      </w:r>
      <w:bookmarkStart w:id="359" w:name="_Toc74235890"/>
      <w:bookmarkStart w:id="360" w:name="_Toc29633"/>
      <w:bookmarkStart w:id="361" w:name="_Toc429660959"/>
      <w:bookmarkStart w:id="362" w:name="_Toc491157415"/>
      <w:bookmarkStart w:id="363" w:name="_Toc26595"/>
      <w:r>
        <w:rPr>
          <w:color w:val="auto"/>
          <w:sz w:val="28"/>
          <w:szCs w:val="28"/>
          <w:highlight w:val="none"/>
        </w:rPr>
        <w:t>10.</w:t>
      </w:r>
      <w:r>
        <w:rPr>
          <w:rFonts w:hint="eastAsia"/>
          <w:color w:val="auto"/>
          <w:sz w:val="28"/>
          <w:szCs w:val="28"/>
          <w:highlight w:val="none"/>
        </w:rPr>
        <w:t>保修期满后易损部件、配件报价表</w:t>
      </w:r>
      <w:bookmarkEnd w:id="359"/>
    </w:p>
    <w:p>
      <w:pPr>
        <w:pageBreakBefore w:val="0"/>
        <w:kinsoku/>
        <w:wordWrap w:val="0"/>
        <w:overflowPunct/>
        <w:topLinePunct w:val="0"/>
        <w:bidi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供应商名称：</w:t>
      </w:r>
      <w:r>
        <w:rPr>
          <w:rFonts w:hint="eastAsia" w:ascii="宋体" w:hAnsi="宋体" w:cs="宋体"/>
          <w:color w:val="auto"/>
          <w:szCs w:val="21"/>
          <w:highlight w:val="none"/>
          <w:u w:val="single"/>
        </w:rPr>
        <w:t xml:space="preserve">               </w:t>
      </w:r>
    </w:p>
    <w:p>
      <w:pPr>
        <w:pageBreakBefore w:val="0"/>
        <w:kinsoku/>
        <w:wordWrap w:val="0"/>
        <w:overflowPunct/>
        <w:topLinePunct w:val="0"/>
        <w:bidi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采购编号：</w:t>
      </w:r>
      <w:r>
        <w:rPr>
          <w:rFonts w:hint="eastAsia" w:ascii="宋体" w:hAnsi="宋体" w:cs="宋体"/>
          <w:color w:val="auto"/>
          <w:szCs w:val="21"/>
          <w:highlight w:val="none"/>
          <w:u w:val="single"/>
        </w:rPr>
        <w:t xml:space="preserve">                 </w:t>
      </w:r>
    </w:p>
    <w:p>
      <w:pPr>
        <w:pageBreakBefore w:val="0"/>
        <w:kinsoku/>
        <w:wordWrap w:val="0"/>
        <w:overflowPunct/>
        <w:topLinePunct w:val="0"/>
        <w:bidi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报价单位：人民币元</w:t>
      </w:r>
    </w:p>
    <w:tbl>
      <w:tblPr>
        <w:tblStyle w:val="26"/>
        <w:tblW w:w="8655" w:type="dxa"/>
        <w:jc w:val="center"/>
        <w:tblLayout w:type="fixed"/>
        <w:tblCellMar>
          <w:top w:w="0" w:type="dxa"/>
          <w:left w:w="108" w:type="dxa"/>
          <w:bottom w:w="0" w:type="dxa"/>
          <w:right w:w="108" w:type="dxa"/>
        </w:tblCellMar>
      </w:tblPr>
      <w:tblGrid>
        <w:gridCol w:w="1708"/>
        <w:gridCol w:w="1509"/>
        <w:gridCol w:w="1001"/>
        <w:gridCol w:w="859"/>
        <w:gridCol w:w="1430"/>
        <w:gridCol w:w="2148"/>
      </w:tblGrid>
      <w:tr>
        <w:tblPrEx>
          <w:tblCellMar>
            <w:top w:w="0" w:type="dxa"/>
            <w:left w:w="108" w:type="dxa"/>
            <w:bottom w:w="0" w:type="dxa"/>
            <w:right w:w="108" w:type="dxa"/>
          </w:tblCellMar>
        </w:tblPrEx>
        <w:trPr>
          <w:trHeight w:val="641" w:hRule="atLeast"/>
          <w:jc w:val="center"/>
        </w:trPr>
        <w:tc>
          <w:tcPr>
            <w:tcW w:w="1708"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名称</w:t>
            </w:r>
          </w:p>
        </w:tc>
        <w:tc>
          <w:tcPr>
            <w:tcW w:w="1509" w:type="dxa"/>
            <w:tcBorders>
              <w:top w:val="single" w:color="auto" w:sz="4" w:space="0"/>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规格</w:t>
            </w:r>
          </w:p>
        </w:tc>
        <w:tc>
          <w:tcPr>
            <w:tcW w:w="1001" w:type="dxa"/>
            <w:tcBorders>
              <w:top w:val="single" w:color="auto" w:sz="4" w:space="0"/>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单位</w:t>
            </w:r>
          </w:p>
        </w:tc>
        <w:tc>
          <w:tcPr>
            <w:tcW w:w="859" w:type="dxa"/>
            <w:tcBorders>
              <w:top w:val="single" w:color="auto" w:sz="4" w:space="0"/>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数量</w:t>
            </w:r>
          </w:p>
        </w:tc>
        <w:tc>
          <w:tcPr>
            <w:tcW w:w="1430" w:type="dxa"/>
            <w:tcBorders>
              <w:top w:val="single" w:color="auto" w:sz="4" w:space="0"/>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单价（元）</w:t>
            </w:r>
          </w:p>
        </w:tc>
        <w:tc>
          <w:tcPr>
            <w:tcW w:w="2146" w:type="dxa"/>
            <w:tcBorders>
              <w:top w:val="single" w:color="auto" w:sz="4" w:space="0"/>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产地及生产企业</w:t>
            </w:r>
          </w:p>
        </w:tc>
      </w:tr>
      <w:tr>
        <w:tblPrEx>
          <w:tblCellMar>
            <w:top w:w="0" w:type="dxa"/>
            <w:left w:w="108" w:type="dxa"/>
            <w:bottom w:w="0" w:type="dxa"/>
            <w:right w:w="108" w:type="dxa"/>
          </w:tblCellMar>
        </w:tblPrEx>
        <w:trPr>
          <w:trHeight w:val="641" w:hRule="atLeast"/>
          <w:jc w:val="center"/>
        </w:trPr>
        <w:tc>
          <w:tcPr>
            <w:tcW w:w="1708" w:type="dxa"/>
            <w:tcBorders>
              <w:top w:val="nil"/>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50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001"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85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430"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2146"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r>
      <w:tr>
        <w:tblPrEx>
          <w:tblCellMar>
            <w:top w:w="0" w:type="dxa"/>
            <w:left w:w="108" w:type="dxa"/>
            <w:bottom w:w="0" w:type="dxa"/>
            <w:right w:w="108" w:type="dxa"/>
          </w:tblCellMar>
        </w:tblPrEx>
        <w:trPr>
          <w:trHeight w:val="641" w:hRule="atLeast"/>
          <w:jc w:val="center"/>
        </w:trPr>
        <w:tc>
          <w:tcPr>
            <w:tcW w:w="1708" w:type="dxa"/>
            <w:tcBorders>
              <w:top w:val="nil"/>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50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001"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85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430"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2146"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r>
      <w:tr>
        <w:tblPrEx>
          <w:tblCellMar>
            <w:top w:w="0" w:type="dxa"/>
            <w:left w:w="108" w:type="dxa"/>
            <w:bottom w:w="0" w:type="dxa"/>
            <w:right w:w="108" w:type="dxa"/>
          </w:tblCellMar>
        </w:tblPrEx>
        <w:trPr>
          <w:trHeight w:val="641" w:hRule="atLeast"/>
          <w:jc w:val="center"/>
        </w:trPr>
        <w:tc>
          <w:tcPr>
            <w:tcW w:w="1708" w:type="dxa"/>
            <w:tcBorders>
              <w:top w:val="nil"/>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50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001"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85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430"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2146"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r>
      <w:tr>
        <w:tblPrEx>
          <w:tblCellMar>
            <w:top w:w="0" w:type="dxa"/>
            <w:left w:w="108" w:type="dxa"/>
            <w:bottom w:w="0" w:type="dxa"/>
            <w:right w:w="108" w:type="dxa"/>
          </w:tblCellMar>
        </w:tblPrEx>
        <w:trPr>
          <w:trHeight w:val="641" w:hRule="atLeast"/>
          <w:jc w:val="center"/>
        </w:trPr>
        <w:tc>
          <w:tcPr>
            <w:tcW w:w="1708" w:type="dxa"/>
            <w:tcBorders>
              <w:top w:val="nil"/>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50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001"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85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430"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2146"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r>
      <w:tr>
        <w:tblPrEx>
          <w:tblCellMar>
            <w:top w:w="0" w:type="dxa"/>
            <w:left w:w="108" w:type="dxa"/>
            <w:bottom w:w="0" w:type="dxa"/>
            <w:right w:w="108" w:type="dxa"/>
          </w:tblCellMar>
        </w:tblPrEx>
        <w:trPr>
          <w:trHeight w:val="641" w:hRule="atLeast"/>
          <w:jc w:val="center"/>
        </w:trPr>
        <w:tc>
          <w:tcPr>
            <w:tcW w:w="1708" w:type="dxa"/>
            <w:tcBorders>
              <w:top w:val="nil"/>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50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001"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85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430"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2146"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r>
      <w:tr>
        <w:tblPrEx>
          <w:tblCellMar>
            <w:top w:w="0" w:type="dxa"/>
            <w:left w:w="108" w:type="dxa"/>
            <w:bottom w:w="0" w:type="dxa"/>
            <w:right w:w="108" w:type="dxa"/>
          </w:tblCellMar>
        </w:tblPrEx>
        <w:trPr>
          <w:trHeight w:val="641" w:hRule="atLeast"/>
          <w:jc w:val="center"/>
        </w:trPr>
        <w:tc>
          <w:tcPr>
            <w:tcW w:w="1708" w:type="dxa"/>
            <w:tcBorders>
              <w:top w:val="nil"/>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50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001"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859"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1430"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c>
          <w:tcPr>
            <w:tcW w:w="2146" w:type="dxa"/>
            <w:tcBorders>
              <w:top w:val="nil"/>
              <w:left w:val="nil"/>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p>
        </w:tc>
      </w:tr>
      <w:tr>
        <w:tblPrEx>
          <w:tblCellMar>
            <w:top w:w="0" w:type="dxa"/>
            <w:left w:w="108" w:type="dxa"/>
            <w:bottom w:w="0" w:type="dxa"/>
            <w:right w:w="108" w:type="dxa"/>
          </w:tblCellMar>
        </w:tblPrEx>
        <w:trPr>
          <w:trHeight w:val="641" w:hRule="atLeast"/>
          <w:jc w:val="center"/>
        </w:trPr>
        <w:tc>
          <w:tcPr>
            <w:tcW w:w="3217"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保修期满后易损部件、配件在以上单价基础上优惠（%）</w:t>
            </w:r>
          </w:p>
        </w:tc>
        <w:tc>
          <w:tcPr>
            <w:tcW w:w="5438" w:type="dxa"/>
            <w:gridSpan w:val="4"/>
            <w:vMerge w:val="restart"/>
            <w:tcBorders>
              <w:top w:val="single" w:color="auto" w:sz="4" w:space="0"/>
              <w:left w:val="single" w:color="auto" w:sz="4" w:space="0"/>
              <w:bottom w:val="single" w:color="000000" w:sz="4" w:space="0"/>
              <w:right w:val="single" w:color="000000" w:sz="4" w:space="0"/>
            </w:tcBorders>
            <w:noWrap w:val="0"/>
            <w:vAlign w:val="center"/>
          </w:tcPr>
          <w:p>
            <w:pPr>
              <w:pageBreakBefore w:val="0"/>
              <w:widowControl/>
              <w:kinsoku/>
              <w:wordWrap w:val="0"/>
              <w:overflowPunct/>
              <w:topLinePunct w:val="0"/>
              <w:bidi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tblPrEx>
          <w:tblCellMar>
            <w:top w:w="0" w:type="dxa"/>
            <w:left w:w="108" w:type="dxa"/>
            <w:bottom w:w="0" w:type="dxa"/>
            <w:right w:w="108" w:type="dxa"/>
          </w:tblCellMar>
        </w:tblPrEx>
        <w:trPr>
          <w:trHeight w:val="641" w:hRule="atLeast"/>
          <w:jc w:val="center"/>
        </w:trPr>
        <w:tc>
          <w:tcPr>
            <w:tcW w:w="3217"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pageBreakBefore w:val="0"/>
              <w:widowControl/>
              <w:kinsoku/>
              <w:wordWrap w:val="0"/>
              <w:overflowPunct/>
              <w:topLinePunct w:val="0"/>
              <w:bidi w:val="0"/>
              <w:jc w:val="left"/>
              <w:rPr>
                <w:rFonts w:hint="eastAsia" w:ascii="宋体" w:hAnsi="宋体" w:cs="宋体"/>
                <w:color w:val="auto"/>
                <w:kern w:val="0"/>
                <w:szCs w:val="21"/>
                <w:highlight w:val="none"/>
              </w:rPr>
            </w:pPr>
          </w:p>
        </w:tc>
        <w:tc>
          <w:tcPr>
            <w:tcW w:w="5438" w:type="dxa"/>
            <w:gridSpan w:val="4"/>
            <w:vMerge w:val="continue"/>
            <w:tcBorders>
              <w:top w:val="single" w:color="auto" w:sz="4" w:space="0"/>
              <w:left w:val="single" w:color="auto" w:sz="4" w:space="0"/>
              <w:bottom w:val="single" w:color="000000" w:sz="4" w:space="0"/>
              <w:right w:val="single" w:color="000000" w:sz="4" w:space="0"/>
            </w:tcBorders>
            <w:noWrap w:val="0"/>
            <w:vAlign w:val="center"/>
          </w:tcPr>
          <w:p>
            <w:pPr>
              <w:pageBreakBefore w:val="0"/>
              <w:widowControl/>
              <w:kinsoku/>
              <w:wordWrap w:val="0"/>
              <w:overflowPunct/>
              <w:topLinePunct w:val="0"/>
              <w:bidi w:val="0"/>
              <w:jc w:val="left"/>
              <w:rPr>
                <w:rFonts w:hint="eastAsia" w:ascii="宋体" w:hAnsi="宋体" w:cs="宋体"/>
                <w:color w:val="auto"/>
                <w:kern w:val="0"/>
                <w:szCs w:val="21"/>
                <w:highlight w:val="none"/>
              </w:rPr>
            </w:pPr>
          </w:p>
        </w:tc>
      </w:tr>
    </w:tbl>
    <w:p>
      <w:pPr>
        <w:pageBreakBefore w:val="0"/>
        <w:kinsoku/>
        <w:wordWrap w:val="0"/>
        <w:overflowPunct/>
        <w:topLinePunct w:val="0"/>
        <w:bidi w:val="0"/>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备注：</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bookmarkStart w:id="364" w:name="_Toc17660"/>
      <w:bookmarkStart w:id="365" w:name="_Toc337554746"/>
      <w:bookmarkStart w:id="366" w:name="_Toc349642261"/>
      <w:bookmarkStart w:id="367" w:name="_Toc320878662"/>
      <w:bookmarkStart w:id="368" w:name="_Toc337475876"/>
      <w:bookmarkStart w:id="369" w:name="_Toc304219279"/>
      <w:r>
        <w:rPr>
          <w:rFonts w:hint="eastAsia" w:ascii="宋体" w:hAnsi="宋体" w:cs="宋体"/>
          <w:color w:val="auto"/>
          <w:szCs w:val="21"/>
          <w:highlight w:val="none"/>
        </w:rPr>
        <w:t>1、供应商应对上述内容进行如实填报，不得有虚报或者瞒报现象，否则视为未实质性响应招标文件要求。保修期满后若无易损部件、配件、报价则在此表格“名称”空白处填写“无”字样。</w:t>
      </w:r>
      <w:bookmarkEnd w:id="364"/>
      <w:bookmarkEnd w:id="365"/>
      <w:bookmarkEnd w:id="366"/>
      <w:bookmarkEnd w:id="367"/>
      <w:bookmarkEnd w:id="368"/>
      <w:bookmarkEnd w:id="369"/>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2、单价精确到小数点后两位。</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bookmarkStart w:id="370" w:name="_Toc304219280"/>
      <w:bookmarkStart w:id="371" w:name="_Toc337475877"/>
      <w:bookmarkStart w:id="372" w:name="_Toc25689"/>
      <w:bookmarkStart w:id="373" w:name="_Toc337554747"/>
      <w:bookmarkStart w:id="374" w:name="_Toc320878663"/>
      <w:bookmarkStart w:id="375" w:name="_Toc349642262"/>
      <w:r>
        <w:rPr>
          <w:rFonts w:hint="eastAsia" w:ascii="宋体" w:hAnsi="宋体" w:cs="宋体"/>
          <w:color w:val="auto"/>
          <w:szCs w:val="21"/>
          <w:highlight w:val="none"/>
        </w:rPr>
        <w:t>3、填写内容应包括：1）保修期满后主要的设备易损部件、配件。</w:t>
      </w:r>
      <w:bookmarkEnd w:id="370"/>
      <w:bookmarkEnd w:id="371"/>
      <w:bookmarkEnd w:id="372"/>
      <w:bookmarkEnd w:id="373"/>
      <w:bookmarkEnd w:id="374"/>
      <w:bookmarkEnd w:id="375"/>
      <w:r>
        <w:rPr>
          <w:rFonts w:hint="eastAsia" w:ascii="宋体" w:hAnsi="宋体" w:cs="宋体"/>
          <w:color w:val="auto"/>
          <w:szCs w:val="21"/>
          <w:highlight w:val="none"/>
        </w:rPr>
        <w:t xml:space="preserve">    </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供应商法定代表人或其授权委托人（签字或盖章）：</w:t>
      </w:r>
    </w:p>
    <w:p>
      <w:pPr>
        <w:pageBreakBefore w:val="0"/>
        <w:kinsoku/>
        <w:wordWrap w:val="0"/>
        <w:overflowPunct/>
        <w:topLinePunct w:val="0"/>
        <w:bidi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供应商(盖单位公章):</w:t>
      </w:r>
      <w:r>
        <w:rPr>
          <w:rFonts w:hint="eastAsia" w:ascii="宋体" w:hAnsi="宋体" w:cs="宋体"/>
          <w:color w:val="auto"/>
          <w:szCs w:val="21"/>
          <w:highlight w:val="none"/>
        </w:rPr>
        <w:tab/>
      </w:r>
      <w:r>
        <w:rPr>
          <w:rFonts w:hint="eastAsia" w:ascii="宋体" w:hAnsi="宋体" w:cs="宋体"/>
          <w:color w:val="auto"/>
          <w:szCs w:val="21"/>
          <w:highlight w:val="none"/>
        </w:rPr>
        <w:t xml:space="preserve">     </w:t>
      </w:r>
    </w:p>
    <w:p>
      <w:pPr>
        <w:pStyle w:val="51"/>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jc w:val="right"/>
        <w:rPr>
          <w:rFonts w:hint="eastAsia" w:ascii="宋体" w:hAnsi="宋体" w:cs="宋体"/>
          <w:color w:val="auto"/>
          <w:sz w:val="28"/>
          <w:szCs w:val="28"/>
          <w:highlight w:val="none"/>
        </w:rPr>
      </w:pPr>
      <w:r>
        <w:rPr>
          <w:rFonts w:hint="eastAsia" w:ascii="宋体" w:hAnsi="宋体" w:cs="宋体"/>
          <w:color w:val="auto"/>
          <w:sz w:val="24"/>
          <w:highlight w:val="none"/>
        </w:rPr>
        <w:t>年   月   日</w:t>
      </w:r>
    </w:p>
    <w:p>
      <w:pPr>
        <w:pageBreakBefore w:val="0"/>
        <w:kinsoku/>
        <w:wordWrap w:val="0"/>
        <w:overflowPunct/>
        <w:topLinePunct w:val="0"/>
        <w:bidi w:val="0"/>
        <w:rPr>
          <w:rFonts w:ascii="宋体" w:hAnsi="宋体" w:cs="宋体"/>
          <w:color w:val="auto"/>
          <w:sz w:val="24"/>
          <w:highlight w:val="none"/>
        </w:rPr>
      </w:pPr>
    </w:p>
    <w:p>
      <w:pPr>
        <w:pageBreakBefore w:val="0"/>
        <w:kinsoku/>
        <w:wordWrap w:val="0"/>
        <w:overflowPunct/>
        <w:topLinePunct w:val="0"/>
        <w:bidi w:val="0"/>
        <w:rPr>
          <w:rFonts w:ascii="宋体" w:hAnsi="宋体" w:cs="宋体"/>
          <w:color w:val="auto"/>
          <w:highlight w:val="none"/>
        </w:rPr>
      </w:pPr>
    </w:p>
    <w:p>
      <w:pPr>
        <w:pStyle w:val="51"/>
        <w:pageBreakBefore w:val="0"/>
        <w:kinsoku/>
        <w:wordWrap w:val="0"/>
        <w:overflowPunct/>
        <w:topLinePunct w:val="0"/>
        <w:bidi w:val="0"/>
        <w:rPr>
          <w:rFonts w:hint="eastAsia" w:ascii="宋体" w:hAnsi="宋体" w:cs="宋体"/>
          <w:color w:val="auto"/>
          <w:highlight w:val="none"/>
        </w:rPr>
      </w:pPr>
    </w:p>
    <w:p>
      <w:pPr>
        <w:rPr>
          <w:rFonts w:hint="eastAsia"/>
          <w:color w:val="auto"/>
          <w:sz w:val="28"/>
          <w:szCs w:val="28"/>
          <w:highlight w:val="none"/>
        </w:rPr>
      </w:pPr>
      <w:bookmarkStart w:id="376" w:name="_Toc73110523"/>
      <w:bookmarkStart w:id="377" w:name="_Toc29902"/>
      <w:bookmarkStart w:id="378" w:name="_Toc74235891"/>
      <w:bookmarkStart w:id="379" w:name="_Toc390963798"/>
      <w:bookmarkStart w:id="380" w:name="_Toc501722307"/>
      <w:r>
        <w:rPr>
          <w:rFonts w:hint="eastAsia"/>
          <w:color w:val="auto"/>
          <w:sz w:val="28"/>
          <w:szCs w:val="28"/>
          <w:highlight w:val="none"/>
        </w:rPr>
        <w:br w:type="page"/>
      </w:r>
    </w:p>
    <w:p>
      <w:pPr>
        <w:pStyle w:val="3"/>
        <w:pageBreakBefore w:val="0"/>
        <w:kinsoku/>
        <w:wordWrap w:val="0"/>
        <w:overflowPunct/>
        <w:topLinePunct w:val="0"/>
        <w:bidi w:val="0"/>
        <w:jc w:val="center"/>
        <w:outlineLvl w:val="1"/>
        <w:rPr>
          <w:rFonts w:hint="eastAsia" w:eastAsia="宋体"/>
          <w:color w:val="auto"/>
          <w:sz w:val="28"/>
          <w:szCs w:val="28"/>
          <w:highlight w:val="none"/>
          <w:lang w:val="en-US" w:eastAsia="zh-CN"/>
        </w:rPr>
      </w:pPr>
      <w:r>
        <w:rPr>
          <w:rFonts w:hint="eastAsia"/>
          <w:color w:val="auto"/>
          <w:sz w:val="28"/>
          <w:szCs w:val="28"/>
          <w:highlight w:val="none"/>
        </w:rPr>
        <w:t>1</w:t>
      </w:r>
      <w:r>
        <w:rPr>
          <w:color w:val="auto"/>
          <w:sz w:val="28"/>
          <w:szCs w:val="28"/>
          <w:highlight w:val="none"/>
        </w:rPr>
        <w:t>1</w:t>
      </w:r>
      <w:r>
        <w:rPr>
          <w:rFonts w:hint="eastAsia"/>
          <w:color w:val="auto"/>
          <w:sz w:val="28"/>
          <w:szCs w:val="28"/>
          <w:highlight w:val="none"/>
        </w:rPr>
        <w:t>.</w:t>
      </w:r>
      <w:r>
        <w:rPr>
          <w:rFonts w:hint="eastAsia"/>
          <w:color w:val="auto"/>
          <w:sz w:val="28"/>
          <w:szCs w:val="28"/>
          <w:highlight w:val="none"/>
          <w:lang w:eastAsia="zh-CN"/>
        </w:rPr>
        <w:t>产品性能、</w:t>
      </w:r>
      <w:r>
        <w:rPr>
          <w:rFonts w:hint="eastAsia"/>
          <w:color w:val="auto"/>
          <w:sz w:val="28"/>
          <w:szCs w:val="28"/>
          <w:highlight w:val="none"/>
        </w:rPr>
        <w:t>供货安排及人员培训方案</w:t>
      </w:r>
      <w:bookmarkEnd w:id="376"/>
      <w:bookmarkEnd w:id="377"/>
      <w:bookmarkEnd w:id="378"/>
      <w:bookmarkEnd w:id="379"/>
      <w:bookmarkEnd w:id="380"/>
    </w:p>
    <w:p>
      <w:pPr>
        <w:pStyle w:val="51"/>
        <w:pageBreakBefore w:val="0"/>
        <w:kinsoku/>
        <w:wordWrap w:val="0"/>
        <w:overflowPunct/>
        <w:topLinePunct w:val="0"/>
        <w:bidi w:val="0"/>
        <w:rPr>
          <w:rFonts w:hint="eastAsia" w:ascii="宋体" w:hAnsi="宋体" w:cs="宋体"/>
          <w:color w:val="auto"/>
          <w:highlight w:val="none"/>
        </w:rPr>
      </w:pPr>
    </w:p>
    <w:p>
      <w:pPr>
        <w:pStyle w:val="51"/>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rPr>
          <w:rFonts w:hint="eastAsia" w:ascii="宋体" w:hAnsi="宋体" w:cs="宋体"/>
          <w:color w:val="auto"/>
          <w:highlight w:val="none"/>
        </w:rPr>
      </w:pPr>
    </w:p>
    <w:p>
      <w:pPr>
        <w:pStyle w:val="51"/>
        <w:pageBreakBefore w:val="0"/>
        <w:kinsoku/>
        <w:wordWrap w:val="0"/>
        <w:overflowPunct/>
        <w:topLinePunct w:val="0"/>
        <w:bidi w:val="0"/>
        <w:rPr>
          <w:rFonts w:hint="eastAsia" w:ascii="宋体" w:hAnsi="宋体" w:cs="宋体"/>
          <w:color w:val="auto"/>
          <w:highlight w:val="none"/>
        </w:rPr>
      </w:pPr>
    </w:p>
    <w:p>
      <w:pPr>
        <w:pStyle w:val="51"/>
        <w:pageBreakBefore w:val="0"/>
        <w:kinsoku/>
        <w:wordWrap w:val="0"/>
        <w:overflowPunct/>
        <w:topLinePunct w:val="0"/>
        <w:bidi w:val="0"/>
        <w:rPr>
          <w:rFonts w:hint="eastAsia" w:ascii="宋体" w:hAnsi="宋体" w:cs="宋体"/>
          <w:color w:val="auto"/>
          <w:highlight w:val="none"/>
        </w:rPr>
      </w:pPr>
    </w:p>
    <w:p>
      <w:pPr>
        <w:pageBreakBefore w:val="0"/>
        <w:kinsoku/>
        <w:wordWrap w:val="0"/>
        <w:overflowPunct/>
        <w:topLinePunct w:val="0"/>
        <w:bidi w:val="0"/>
        <w:rPr>
          <w:rFonts w:hint="eastAsia" w:ascii="宋体" w:hAnsi="宋体" w:cs="宋体"/>
          <w:color w:val="auto"/>
          <w:highlight w:val="none"/>
        </w:rPr>
      </w:pPr>
    </w:p>
    <w:p>
      <w:pPr>
        <w:rPr>
          <w:color w:val="auto"/>
          <w:sz w:val="28"/>
          <w:szCs w:val="28"/>
          <w:highlight w:val="none"/>
        </w:rPr>
      </w:pPr>
      <w:bookmarkStart w:id="381" w:name="_Toc73110511"/>
      <w:bookmarkStart w:id="382" w:name="_Toc74235892"/>
      <w:r>
        <w:rPr>
          <w:color w:val="auto"/>
          <w:sz w:val="28"/>
          <w:szCs w:val="28"/>
          <w:highlight w:val="none"/>
        </w:rPr>
        <w:br w:type="page"/>
      </w:r>
    </w:p>
    <w:p>
      <w:pPr>
        <w:pStyle w:val="3"/>
        <w:pageBreakBefore w:val="0"/>
        <w:kinsoku/>
        <w:wordWrap w:val="0"/>
        <w:overflowPunct/>
        <w:topLinePunct w:val="0"/>
        <w:bidi w:val="0"/>
        <w:jc w:val="center"/>
        <w:outlineLvl w:val="1"/>
        <w:rPr>
          <w:color w:val="auto"/>
          <w:sz w:val="28"/>
          <w:szCs w:val="28"/>
          <w:highlight w:val="none"/>
        </w:rPr>
      </w:pPr>
      <w:r>
        <w:rPr>
          <w:color w:val="auto"/>
          <w:sz w:val="28"/>
          <w:szCs w:val="28"/>
          <w:highlight w:val="none"/>
        </w:rPr>
        <w:t>12.</w:t>
      </w:r>
      <w:r>
        <w:rPr>
          <w:rFonts w:hint="eastAsia"/>
          <w:color w:val="auto"/>
          <w:sz w:val="28"/>
          <w:szCs w:val="28"/>
          <w:highlight w:val="none"/>
        </w:rPr>
        <w:t>售后服务计划及优惠承诺</w:t>
      </w:r>
      <w:bookmarkEnd w:id="381"/>
      <w:bookmarkEnd w:id="382"/>
    </w:p>
    <w:p>
      <w:pPr>
        <w:pageBreakBefore w:val="0"/>
        <w:kinsoku/>
        <w:wordWrap w:val="0"/>
        <w:overflowPunct/>
        <w:topLinePunct w:val="0"/>
        <w:bidi w:val="0"/>
        <w:rPr>
          <w:rFonts w:hint="eastAsia"/>
          <w:color w:val="auto"/>
          <w:highlight w:val="none"/>
        </w:rPr>
      </w:pPr>
    </w:p>
    <w:p>
      <w:pPr>
        <w:pageBreakBefore w:val="0"/>
        <w:kinsoku/>
        <w:wordWrap w:val="0"/>
        <w:overflowPunct/>
        <w:topLinePunct w:val="0"/>
        <w:bidi w:val="0"/>
        <w:spacing w:line="600" w:lineRule="exact"/>
        <w:rPr>
          <w:rFonts w:hint="eastAsia" w:ascii="宋体" w:hAnsi="宋体"/>
          <w:color w:val="auto"/>
          <w:szCs w:val="21"/>
          <w:highlight w:val="none"/>
        </w:rPr>
      </w:pPr>
      <w:r>
        <w:rPr>
          <w:rFonts w:hint="eastAsia" w:ascii="宋体" w:hAnsi="宋体"/>
          <w:color w:val="auto"/>
          <w:szCs w:val="21"/>
          <w:highlight w:val="none"/>
        </w:rPr>
        <w:t>供应商必须提供但不限于提供以下内容：</w:t>
      </w:r>
    </w:p>
    <w:p>
      <w:pPr>
        <w:pageBreakBefore w:val="0"/>
        <w:kinsoku/>
        <w:wordWrap w:val="0"/>
        <w:overflowPunct/>
        <w:topLinePunct w:val="0"/>
        <w:bidi w:val="0"/>
        <w:spacing w:line="600" w:lineRule="exact"/>
        <w:ind w:firstLine="440" w:firstLineChars="200"/>
        <w:rPr>
          <w:rFonts w:hint="eastAsia" w:ascii="宋体" w:hAnsi="宋体"/>
          <w:color w:val="auto"/>
          <w:szCs w:val="21"/>
          <w:highlight w:val="none"/>
        </w:rPr>
      </w:pPr>
      <w:r>
        <w:rPr>
          <w:rFonts w:hint="eastAsia" w:ascii="宋体" w:hAnsi="宋体"/>
          <w:color w:val="auto"/>
          <w:szCs w:val="21"/>
          <w:highlight w:val="none"/>
        </w:rPr>
        <w:t>1、详细说明售后服务的内容、形式、含解决问题时间、突发性事件的响应时间及应对措施等。</w:t>
      </w:r>
    </w:p>
    <w:p>
      <w:pPr>
        <w:pageBreakBefore w:val="0"/>
        <w:kinsoku/>
        <w:wordWrap w:val="0"/>
        <w:overflowPunct/>
        <w:topLinePunct w:val="0"/>
        <w:bidi w:val="0"/>
        <w:spacing w:line="600" w:lineRule="exact"/>
        <w:ind w:firstLine="440" w:firstLineChars="20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s="宋体"/>
          <w:color w:val="auto"/>
          <w:szCs w:val="21"/>
          <w:highlight w:val="none"/>
        </w:rPr>
        <w:t>人员培训方案、</w:t>
      </w:r>
      <w:r>
        <w:rPr>
          <w:rFonts w:hint="eastAsia" w:ascii="宋体" w:hAnsi="宋体"/>
          <w:color w:val="auto"/>
          <w:szCs w:val="21"/>
          <w:highlight w:val="none"/>
        </w:rPr>
        <w:t>报价优惠、售后服务优惠、质保期限、过保后的配件优惠承诺等。</w:t>
      </w:r>
    </w:p>
    <w:p>
      <w:pPr>
        <w:pageBreakBefore w:val="0"/>
        <w:kinsoku/>
        <w:wordWrap w:val="0"/>
        <w:overflowPunct/>
        <w:topLinePunct w:val="0"/>
        <w:bidi w:val="0"/>
        <w:spacing w:line="600" w:lineRule="exact"/>
        <w:ind w:firstLine="440" w:firstLineChars="200"/>
        <w:rPr>
          <w:rFonts w:hint="eastAsia" w:ascii="宋体" w:hAnsi="宋体"/>
          <w:color w:val="auto"/>
          <w:szCs w:val="21"/>
          <w:highlight w:val="none"/>
        </w:rPr>
      </w:pPr>
      <w:r>
        <w:rPr>
          <w:rFonts w:hint="eastAsia" w:ascii="宋体" w:hAnsi="宋体"/>
          <w:color w:val="auto"/>
          <w:szCs w:val="21"/>
          <w:highlight w:val="none"/>
        </w:rPr>
        <w:t xml:space="preserve">3、本次投标项目所提供的其他免费物品或服务。 </w:t>
      </w:r>
    </w:p>
    <w:p>
      <w:pPr>
        <w:pageBreakBefore w:val="0"/>
        <w:kinsoku/>
        <w:wordWrap w:val="0"/>
        <w:overflowPunct/>
        <w:topLinePunct w:val="0"/>
        <w:bidi w:val="0"/>
        <w:spacing w:line="600" w:lineRule="exact"/>
        <w:ind w:firstLine="440" w:firstLineChars="20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、其他实质性优惠承诺。</w:t>
      </w:r>
    </w:p>
    <w:p>
      <w:pPr>
        <w:pageBreakBefore w:val="0"/>
        <w:kinsoku/>
        <w:wordWrap w:val="0"/>
        <w:overflowPunct/>
        <w:topLinePunct w:val="0"/>
        <w:bidi w:val="0"/>
        <w:rPr>
          <w:rFonts w:hint="eastAsia"/>
          <w:color w:val="auto"/>
          <w:highlight w:val="none"/>
        </w:rPr>
      </w:pPr>
    </w:p>
    <w:p>
      <w:pPr>
        <w:pStyle w:val="51"/>
        <w:pageBreakBefore w:val="0"/>
        <w:kinsoku/>
        <w:wordWrap w:val="0"/>
        <w:overflowPunct/>
        <w:topLinePunct w:val="0"/>
        <w:bidi w:val="0"/>
        <w:rPr>
          <w:rFonts w:hint="eastAsia" w:ascii="宋体" w:hAnsi="宋体" w:cs="宋体"/>
          <w:color w:val="auto"/>
          <w:highlight w:val="none"/>
        </w:rPr>
      </w:pPr>
      <w:r>
        <w:rPr>
          <w:color w:val="auto"/>
          <w:highlight w:val="none"/>
        </w:rPr>
        <w:br w:type="page"/>
      </w:r>
    </w:p>
    <w:p>
      <w:pPr>
        <w:pageBreakBefore w:val="0"/>
        <w:kinsoku/>
        <w:wordWrap w:val="0"/>
        <w:overflowPunct/>
        <w:topLinePunct w:val="0"/>
        <w:bidi w:val="0"/>
        <w:rPr>
          <w:rFonts w:hint="eastAsia" w:ascii="宋体" w:hAnsi="宋体" w:cs="宋体"/>
          <w:color w:val="auto"/>
          <w:highlight w:val="none"/>
        </w:rPr>
      </w:pPr>
      <w:bookmarkStart w:id="383" w:name="_Toc390963799"/>
      <w:bookmarkStart w:id="384" w:name="_Toc14645"/>
      <w:bookmarkStart w:id="385" w:name="_Toc501722310"/>
    </w:p>
    <w:p>
      <w:pPr>
        <w:pStyle w:val="3"/>
        <w:pageBreakBefore w:val="0"/>
        <w:kinsoku/>
        <w:wordWrap w:val="0"/>
        <w:overflowPunct/>
        <w:topLinePunct w:val="0"/>
        <w:bidi w:val="0"/>
        <w:ind w:left="0" w:leftChars="0" w:firstLine="0" w:firstLineChars="0"/>
        <w:jc w:val="center"/>
        <w:outlineLvl w:val="1"/>
        <w:rPr>
          <w:color w:val="auto"/>
          <w:sz w:val="28"/>
          <w:szCs w:val="28"/>
          <w:highlight w:val="none"/>
        </w:rPr>
      </w:pPr>
      <w:bookmarkStart w:id="386" w:name="_Toc74235893"/>
      <w:bookmarkStart w:id="387" w:name="_Toc73110525"/>
      <w:r>
        <w:rPr>
          <w:rFonts w:hint="eastAsia"/>
          <w:color w:val="auto"/>
          <w:sz w:val="28"/>
          <w:szCs w:val="28"/>
          <w:highlight w:val="none"/>
        </w:rPr>
        <w:t>1</w:t>
      </w:r>
      <w:r>
        <w:rPr>
          <w:color w:val="auto"/>
          <w:sz w:val="28"/>
          <w:szCs w:val="28"/>
          <w:highlight w:val="none"/>
        </w:rPr>
        <w:t>3</w:t>
      </w:r>
      <w:r>
        <w:rPr>
          <w:rFonts w:hint="eastAsia"/>
          <w:color w:val="auto"/>
          <w:sz w:val="28"/>
          <w:szCs w:val="28"/>
          <w:highlight w:val="none"/>
        </w:rPr>
        <w:t>.供应商认为有必要提供的其他资料；</w:t>
      </w:r>
      <w:bookmarkEnd w:id="383"/>
      <w:bookmarkEnd w:id="384"/>
      <w:bookmarkEnd w:id="385"/>
      <w:bookmarkEnd w:id="386"/>
      <w:bookmarkEnd w:id="387"/>
    </w:p>
    <w:p>
      <w:pPr>
        <w:pStyle w:val="3"/>
        <w:pageBreakBefore w:val="0"/>
        <w:kinsoku/>
        <w:wordWrap w:val="0"/>
        <w:overflowPunct/>
        <w:topLinePunct w:val="0"/>
        <w:bidi w:val="0"/>
        <w:ind w:left="0" w:leftChars="0" w:firstLine="0" w:firstLineChars="0"/>
        <w:jc w:val="center"/>
        <w:outlineLvl w:val="1"/>
        <w:rPr>
          <w:color w:val="auto"/>
          <w:sz w:val="28"/>
          <w:szCs w:val="28"/>
          <w:highlight w:val="none"/>
        </w:rPr>
      </w:pPr>
      <w:r>
        <w:rPr>
          <w:b w:val="0"/>
          <w:color w:val="auto"/>
          <w:kern w:val="2"/>
          <w:sz w:val="21"/>
          <w:szCs w:val="24"/>
          <w:highlight w:val="none"/>
        </w:rPr>
        <w:br w:type="page"/>
      </w:r>
      <w:bookmarkEnd w:id="360"/>
      <w:bookmarkEnd w:id="361"/>
      <w:bookmarkEnd w:id="362"/>
      <w:bookmarkEnd w:id="363"/>
      <w:bookmarkStart w:id="388" w:name="_Toc491157417"/>
      <w:bookmarkStart w:id="389" w:name="_Toc74235894"/>
      <w:bookmarkStart w:id="390" w:name="_Toc73110526"/>
      <w:bookmarkStart w:id="391" w:name="_Toc17900"/>
      <w:r>
        <w:rPr>
          <w:rFonts w:hint="eastAsia"/>
          <w:color w:val="auto"/>
          <w:sz w:val="28"/>
          <w:szCs w:val="28"/>
          <w:highlight w:val="none"/>
        </w:rPr>
        <w:t>1</w:t>
      </w:r>
      <w:r>
        <w:rPr>
          <w:color w:val="auto"/>
          <w:sz w:val="28"/>
          <w:szCs w:val="28"/>
          <w:highlight w:val="none"/>
        </w:rPr>
        <w:t>4</w:t>
      </w:r>
      <w:r>
        <w:rPr>
          <w:rFonts w:hint="eastAsia"/>
          <w:color w:val="auto"/>
          <w:sz w:val="28"/>
          <w:szCs w:val="28"/>
          <w:highlight w:val="none"/>
        </w:rPr>
        <w:t>.</w:t>
      </w:r>
      <w:bookmarkEnd w:id="388"/>
      <w:r>
        <w:rPr>
          <w:rFonts w:hint="eastAsia"/>
          <w:color w:val="auto"/>
          <w:sz w:val="28"/>
          <w:szCs w:val="28"/>
          <w:highlight w:val="none"/>
        </w:rPr>
        <w:t>中小企业声明函</w:t>
      </w:r>
      <w:bookmarkEnd w:id="389"/>
      <w:bookmarkEnd w:id="390"/>
      <w:bookmarkEnd w:id="391"/>
    </w:p>
    <w:p>
      <w:pPr>
        <w:pageBreakBefore w:val="0"/>
        <w:kinsoku/>
        <w:wordWrap w:val="0"/>
        <w:overflowPunct/>
        <w:topLinePunct w:val="0"/>
        <w:bidi w:val="0"/>
        <w:spacing w:line="360" w:lineRule="auto"/>
        <w:jc w:val="center"/>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14</w:t>
      </w:r>
      <w:r>
        <w:rPr>
          <w:rFonts w:hint="eastAsia" w:ascii="宋体" w:hAnsi="宋体" w:cs="宋体"/>
          <w:b/>
          <w:color w:val="auto"/>
          <w:szCs w:val="21"/>
          <w:highlight w:val="none"/>
        </w:rPr>
        <w:t>.1中小企业声明函</w:t>
      </w:r>
    </w:p>
    <w:p>
      <w:pPr>
        <w:pageBreakBefore w:val="0"/>
        <w:kinsoku/>
        <w:wordWrap w:val="0"/>
        <w:overflowPunct/>
        <w:topLinePunct w:val="0"/>
        <w:bidi w:val="0"/>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（供应商属于中小企业的填写，不属于的无需填写此项内容）</w:t>
      </w:r>
    </w:p>
    <w:p>
      <w:pPr>
        <w:pageBreakBefore w:val="0"/>
        <w:kinsoku/>
        <w:wordWrap w:val="0"/>
        <w:overflowPunct/>
        <w:topLinePunct w:val="0"/>
        <w:bidi w:val="0"/>
        <w:rPr>
          <w:rFonts w:hint="eastAsia"/>
          <w:color w:val="auto"/>
          <w:highlight w:val="none"/>
        </w:rPr>
      </w:pPr>
    </w:p>
    <w:p>
      <w:pPr>
        <w:pageBreakBefore w:val="0"/>
        <w:kinsoku/>
        <w:wordWrap w:val="0"/>
        <w:overflowPunct/>
        <w:topLinePunct w:val="0"/>
        <w:bidi w:val="0"/>
        <w:spacing w:line="560" w:lineRule="exact"/>
        <w:ind w:firstLine="440" w:firstLineChars="200"/>
        <w:rPr>
          <w:rFonts w:ascii="宋体" w:hAnsi="宋体" w:cs="宋体"/>
          <w:color w:val="auto"/>
          <w:szCs w:val="21"/>
          <w:highlight w:val="none"/>
        </w:rPr>
      </w:pPr>
      <w:bookmarkStart w:id="392" w:name="_Toc53477564"/>
      <w:bookmarkStart w:id="393" w:name="_Toc53220732"/>
      <w:bookmarkStart w:id="394" w:name="_Toc51921766"/>
      <w:bookmarkStart w:id="395" w:name="_Toc51845409"/>
      <w:bookmarkStart w:id="396" w:name="_Toc51919573"/>
      <w:r>
        <w:rPr>
          <w:rFonts w:ascii="宋体" w:hAnsi="宋体" w:cs="宋体"/>
          <w:color w:val="auto"/>
          <w:szCs w:val="21"/>
          <w:highlight w:val="none"/>
        </w:rPr>
        <w:t>本公司（联合体）郑重声明，根据《政府采购促进中小企业发展管理办法》（财库</w:t>
      </w:r>
      <w:r>
        <w:rPr>
          <w:rFonts w:hint="eastAsia" w:ascii="宋体" w:hAnsi="宋体" w:cs="宋体"/>
          <w:color w:val="auto"/>
          <w:szCs w:val="21"/>
          <w:highlight w:val="none"/>
        </w:rPr>
        <w:t>﹝</w:t>
      </w:r>
      <w:r>
        <w:rPr>
          <w:rFonts w:ascii="宋体" w:hAnsi="宋体" w:cs="宋体"/>
          <w:color w:val="auto"/>
          <w:szCs w:val="21"/>
          <w:highlight w:val="none"/>
        </w:rPr>
        <w:t>2020</w:t>
      </w:r>
      <w:r>
        <w:rPr>
          <w:rFonts w:hint="eastAsia" w:ascii="宋体" w:hAnsi="宋体" w:cs="宋体"/>
          <w:color w:val="auto"/>
          <w:szCs w:val="21"/>
          <w:highlight w:val="none"/>
        </w:rPr>
        <w:t>﹞</w:t>
      </w:r>
      <w:r>
        <w:rPr>
          <w:rFonts w:ascii="宋体" w:hAnsi="宋体" w:cs="宋体"/>
          <w:color w:val="auto"/>
          <w:szCs w:val="21"/>
          <w:highlight w:val="none"/>
        </w:rPr>
        <w:t>46 号）的规定，本公司（联合体）参加</w:t>
      </w:r>
      <w:r>
        <w:rPr>
          <w:rFonts w:hint="eastAsia" w:ascii="宋体" w:hAnsi="宋体" w:cs="宋体"/>
          <w:color w:val="auto"/>
          <w:szCs w:val="21"/>
          <w:highlight w:val="none"/>
          <w:u w:val="single"/>
        </w:rPr>
        <w:t>（单位名称）</w:t>
      </w:r>
      <w:r>
        <w:rPr>
          <w:rFonts w:ascii="宋体" w:hAnsi="宋体" w:cs="宋体"/>
          <w:color w:val="auto"/>
          <w:szCs w:val="21"/>
          <w:highlight w:val="none"/>
        </w:rPr>
        <w:t>的</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采购活动</w:t>
      </w:r>
      <w:r>
        <w:rPr>
          <w:rFonts w:ascii="宋体" w:hAnsi="宋体" w:cs="宋体"/>
          <w:color w:val="auto"/>
          <w:szCs w:val="21"/>
          <w:highlight w:val="none"/>
        </w:rPr>
        <w:t>，提</w:t>
      </w:r>
      <w:r>
        <w:rPr>
          <w:rFonts w:hint="eastAsia" w:ascii="宋体" w:hAnsi="宋体" w:cs="宋体"/>
          <w:color w:val="auto"/>
          <w:szCs w:val="21"/>
          <w:highlight w:val="none"/>
        </w:rPr>
        <w:t>供的货物全部由符合政策要求的中小企业制造。相关企业的具体情况如下：</w:t>
      </w:r>
    </w:p>
    <w:p>
      <w:pPr>
        <w:pageBreakBefore w:val="0"/>
        <w:kinsoku/>
        <w:wordWrap w:val="0"/>
        <w:overflowPunct/>
        <w:topLinePunct w:val="0"/>
        <w:bidi w:val="0"/>
        <w:spacing w:line="560" w:lineRule="exact"/>
        <w:ind w:firstLine="440" w:firstLineChars="20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u w:val="single"/>
        </w:rPr>
        <w:t>（标的名称）</w:t>
      </w:r>
      <w:r>
        <w:rPr>
          <w:rFonts w:ascii="宋体" w:hAnsi="宋体" w:cs="宋体"/>
          <w:color w:val="auto"/>
          <w:szCs w:val="21"/>
          <w:highlight w:val="none"/>
        </w:rPr>
        <w:t>，</w:t>
      </w:r>
      <w:r>
        <w:rPr>
          <w:rFonts w:hint="eastAsia" w:ascii="宋体" w:hAnsi="宋体" w:cs="宋体"/>
          <w:color w:val="auto"/>
          <w:szCs w:val="21"/>
          <w:highlight w:val="none"/>
        </w:rPr>
        <w:t>属于</w:t>
      </w:r>
      <w:r>
        <w:rPr>
          <w:rFonts w:hint="eastAsia" w:ascii="宋体" w:hAnsi="宋体" w:cs="宋体"/>
          <w:color w:val="auto"/>
          <w:szCs w:val="21"/>
          <w:highlight w:val="none"/>
          <w:u w:val="single"/>
        </w:rPr>
        <w:t>（采购文件中明确的所属行业）</w:t>
      </w:r>
      <w:r>
        <w:rPr>
          <w:rFonts w:hint="eastAsia" w:ascii="宋体" w:hAnsi="宋体" w:cs="宋体"/>
          <w:color w:val="auto"/>
          <w:szCs w:val="21"/>
          <w:highlight w:val="none"/>
        </w:rPr>
        <w:t>；制造商为</w:t>
      </w:r>
      <w:r>
        <w:rPr>
          <w:rFonts w:hint="eastAsia" w:ascii="宋体" w:hAnsi="宋体" w:cs="宋体"/>
          <w:color w:val="auto"/>
          <w:szCs w:val="21"/>
          <w:highlight w:val="none"/>
          <w:u w:val="single"/>
        </w:rPr>
        <w:t>（企业名称）</w:t>
      </w:r>
      <w:r>
        <w:rPr>
          <w:rFonts w:hint="eastAsia" w:ascii="宋体" w:hAnsi="宋体" w:cs="宋体"/>
          <w:color w:val="auto"/>
          <w:szCs w:val="21"/>
          <w:highlight w:val="none"/>
        </w:rPr>
        <w:t>，</w:t>
      </w:r>
      <w:r>
        <w:rPr>
          <w:rFonts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rPr>
        <w:t>万元，资产总额为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万元，属于</w:t>
      </w:r>
      <w:r>
        <w:rPr>
          <w:rFonts w:hint="eastAsia" w:ascii="宋体" w:hAnsi="宋体" w:cs="宋体"/>
          <w:color w:val="auto"/>
          <w:szCs w:val="21"/>
          <w:highlight w:val="none"/>
          <w:u w:val="single"/>
        </w:rPr>
        <w:t>（中型企业、小型企业、微型企业）</w:t>
      </w:r>
      <w:r>
        <w:rPr>
          <w:rFonts w:hint="eastAsia" w:ascii="宋体" w:hAnsi="宋体" w:cs="宋体"/>
          <w:color w:val="auto"/>
          <w:szCs w:val="21"/>
          <w:highlight w:val="none"/>
        </w:rPr>
        <w:t>；</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u w:val="single"/>
        </w:rPr>
        <w:t>（标的名称）</w:t>
      </w:r>
      <w:r>
        <w:rPr>
          <w:rFonts w:ascii="宋体" w:hAnsi="宋体" w:cs="宋体"/>
          <w:color w:val="auto"/>
          <w:szCs w:val="21"/>
          <w:highlight w:val="none"/>
        </w:rPr>
        <w:t>，</w:t>
      </w:r>
      <w:r>
        <w:rPr>
          <w:rFonts w:hint="eastAsia" w:ascii="宋体" w:hAnsi="宋体" w:cs="宋体"/>
          <w:color w:val="auto"/>
          <w:szCs w:val="21"/>
          <w:highlight w:val="none"/>
        </w:rPr>
        <w:t>属于</w:t>
      </w:r>
      <w:r>
        <w:rPr>
          <w:rFonts w:hint="eastAsia" w:ascii="宋体" w:hAnsi="宋体" w:cs="宋体"/>
          <w:color w:val="auto"/>
          <w:szCs w:val="21"/>
          <w:highlight w:val="none"/>
          <w:u w:val="single"/>
        </w:rPr>
        <w:t>（采购文件中明确的所属行业）</w:t>
      </w:r>
      <w:r>
        <w:rPr>
          <w:rFonts w:hint="eastAsia" w:ascii="宋体" w:hAnsi="宋体" w:cs="宋体"/>
          <w:color w:val="auto"/>
          <w:szCs w:val="21"/>
          <w:highlight w:val="none"/>
        </w:rPr>
        <w:t>；制造商为</w:t>
      </w:r>
      <w:r>
        <w:rPr>
          <w:rFonts w:hint="eastAsia" w:ascii="宋体" w:hAnsi="宋体" w:cs="宋体"/>
          <w:color w:val="auto"/>
          <w:szCs w:val="21"/>
          <w:highlight w:val="none"/>
          <w:u w:val="single"/>
        </w:rPr>
        <w:t>（企业名称）</w:t>
      </w:r>
      <w:r>
        <w:rPr>
          <w:rFonts w:hint="eastAsia" w:ascii="宋体" w:hAnsi="宋体" w:cs="宋体"/>
          <w:color w:val="auto"/>
          <w:szCs w:val="21"/>
          <w:highlight w:val="none"/>
        </w:rPr>
        <w:t>，</w:t>
      </w:r>
      <w:r>
        <w:rPr>
          <w:rFonts w:ascii="宋体" w:hAnsi="宋体" w:cs="宋体"/>
          <w:color w:val="auto"/>
          <w:szCs w:val="21"/>
          <w:highlight w:val="none"/>
        </w:rPr>
        <w:t>从业人员</w:t>
      </w:r>
      <w:r>
        <w:rPr>
          <w:rFonts w:hint="eastAsia" w:ascii="宋体" w:hAnsi="宋体" w:cs="宋体"/>
          <w:color w:val="auto"/>
          <w:szCs w:val="21"/>
          <w:highlight w:val="none"/>
          <w:u w:val="single"/>
        </w:rPr>
        <w:t xml:space="preserve">    </w:t>
      </w:r>
      <w:r>
        <w:rPr>
          <w:rFonts w:ascii="宋体" w:hAnsi="宋体" w:cs="宋体"/>
          <w:color w:val="auto"/>
          <w:szCs w:val="21"/>
          <w:highlight w:val="none"/>
        </w:rPr>
        <w:t>人，营业收入为</w:t>
      </w:r>
      <w:r>
        <w:rPr>
          <w:rFonts w:hint="eastAsia" w:ascii="宋体" w:hAnsi="宋体" w:cs="宋体"/>
          <w:color w:val="auto"/>
          <w:szCs w:val="21"/>
          <w:highlight w:val="none"/>
          <w:u w:val="single"/>
        </w:rPr>
        <w:t xml:space="preserve">   </w:t>
      </w:r>
      <w:r>
        <w:rPr>
          <w:rFonts w:ascii="宋体" w:hAnsi="宋体" w:cs="宋体"/>
          <w:color w:val="auto"/>
          <w:szCs w:val="21"/>
          <w:highlight w:val="none"/>
        </w:rPr>
        <w:t>万元，资产总额为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万元，属于</w:t>
      </w:r>
      <w:r>
        <w:rPr>
          <w:rFonts w:hint="eastAsia" w:ascii="宋体" w:hAnsi="宋体" w:cs="宋体"/>
          <w:color w:val="auto"/>
          <w:szCs w:val="21"/>
          <w:highlight w:val="none"/>
          <w:u w:val="single"/>
        </w:rPr>
        <w:t>（中型企业、小型企业、微型企业）</w:t>
      </w:r>
      <w:r>
        <w:rPr>
          <w:rFonts w:hint="eastAsia" w:ascii="宋体" w:hAnsi="宋体" w:cs="宋体"/>
          <w:color w:val="auto"/>
          <w:szCs w:val="21"/>
          <w:highlight w:val="none"/>
        </w:rPr>
        <w:t>；</w:t>
      </w:r>
    </w:p>
    <w:p>
      <w:pPr>
        <w:pageBreakBefore w:val="0"/>
        <w:tabs>
          <w:tab w:val="left" w:pos="1806"/>
          <w:tab w:val="left" w:pos="5005"/>
          <w:tab w:val="left" w:pos="7227"/>
        </w:tabs>
        <w:kinsoku/>
        <w:wordWrap w:val="0"/>
        <w:overflowPunct/>
        <w:topLinePunct w:val="0"/>
        <w:bidi w:val="0"/>
        <w:spacing w:before="94" w:line="560" w:lineRule="exact"/>
        <w:ind w:left="205" w:right="236" w:firstLine="14"/>
        <w:jc w:val="left"/>
        <w:rPr>
          <w:rFonts w:ascii="宋体" w:hAnsi="宋体"/>
          <w:color w:val="auto"/>
          <w:spacing w:val="7"/>
          <w:w w:val="99"/>
          <w:szCs w:val="21"/>
          <w:highlight w:val="none"/>
        </w:rPr>
      </w:pPr>
      <w:r>
        <w:rPr>
          <w:rFonts w:ascii="宋体" w:hAnsi="宋体"/>
          <w:color w:val="auto"/>
          <w:spacing w:val="7"/>
          <w:w w:val="99"/>
          <w:szCs w:val="21"/>
          <w:highlight w:val="none"/>
        </w:rPr>
        <w:t>……</w:t>
      </w:r>
    </w:p>
    <w:p>
      <w:pPr>
        <w:pageBreakBefore w:val="0"/>
        <w:kinsoku/>
        <w:wordWrap w:val="0"/>
        <w:overflowPunct/>
        <w:topLinePunct w:val="0"/>
        <w:bidi w:val="0"/>
        <w:spacing w:line="560" w:lineRule="exact"/>
        <w:ind w:firstLine="440" w:firstLineChars="200"/>
        <w:rPr>
          <w:rFonts w:ascii="宋体" w:hAnsi="宋体" w:cs="宋体"/>
          <w:color w:val="auto"/>
          <w:szCs w:val="21"/>
          <w:highlight w:val="none"/>
        </w:rPr>
      </w:pPr>
      <w:r>
        <w:rPr>
          <w:rFonts w:ascii="宋体" w:hAnsi="宋体" w:cs="宋体"/>
          <w:color w:val="auto"/>
          <w:szCs w:val="21"/>
          <w:highlight w:val="none"/>
        </w:rPr>
        <w:t>以上企业，不属于大企业的分支机构，不存在控股股东为大企业的情形，也不存在与大企业的负责人为同一人的情形。</w:t>
      </w:r>
    </w:p>
    <w:p>
      <w:pPr>
        <w:pageBreakBefore w:val="0"/>
        <w:kinsoku/>
        <w:wordWrap w:val="0"/>
        <w:overflowPunct/>
        <w:topLinePunct w:val="0"/>
        <w:bidi w:val="0"/>
        <w:spacing w:line="560" w:lineRule="exact"/>
        <w:ind w:firstLine="440" w:firstLineChars="200"/>
        <w:rPr>
          <w:rFonts w:ascii="宋体" w:hAnsi="宋体" w:cs="宋体"/>
          <w:color w:val="auto"/>
          <w:szCs w:val="21"/>
          <w:highlight w:val="none"/>
        </w:rPr>
      </w:pPr>
      <w:r>
        <w:rPr>
          <w:rFonts w:ascii="宋体" w:hAnsi="宋体" w:cs="宋体"/>
          <w:color w:val="auto"/>
          <w:szCs w:val="21"/>
          <w:highlight w:val="none"/>
        </w:rPr>
        <w:t>本企业对上述声明内容的真实性负责。如有虚假，将依法承担相应责任。</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企业名称（盖单位公章）：</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p>
    <w:p>
      <w:pPr>
        <w:pageBreakBefore w:val="0"/>
        <w:kinsoku/>
        <w:wordWrap w:val="0"/>
        <w:overflowPunct/>
        <w:topLinePunct w:val="0"/>
        <w:bidi w:val="0"/>
        <w:spacing w:line="560" w:lineRule="exact"/>
        <w:ind w:firstLine="440" w:firstLineChars="200"/>
        <w:rPr>
          <w:rFonts w:ascii="宋体" w:hAnsi="宋体" w:cs="宋体"/>
          <w:color w:val="auto"/>
          <w:szCs w:val="21"/>
          <w:highlight w:val="none"/>
        </w:rPr>
      </w:pPr>
      <w:r>
        <w:rPr>
          <w:rFonts w:hint="eastAsia" w:ascii="宋体" w:hAnsi="宋体" w:cs="宋体"/>
          <w:color w:val="auto"/>
          <w:szCs w:val="21"/>
          <w:highlight w:val="none"/>
        </w:rPr>
        <w:t>日期：</w:t>
      </w:r>
    </w:p>
    <w:p>
      <w:pPr>
        <w:pageBreakBefore w:val="0"/>
        <w:kinsoku/>
        <w:wordWrap w:val="0"/>
        <w:overflowPunct/>
        <w:topLinePunct w:val="0"/>
        <w:bidi w:val="0"/>
        <w:spacing w:line="560" w:lineRule="exact"/>
        <w:ind w:firstLine="440" w:firstLineChars="200"/>
        <w:rPr>
          <w:rFonts w:ascii="宋体" w:hAnsi="宋体" w:cs="宋体"/>
          <w:color w:val="auto"/>
          <w:szCs w:val="21"/>
          <w:highlight w:val="none"/>
        </w:rPr>
      </w:pPr>
    </w:p>
    <w:p>
      <w:pPr>
        <w:pageBreakBefore w:val="0"/>
        <w:kinsoku/>
        <w:wordWrap w:val="0"/>
        <w:overflowPunct/>
        <w:topLinePunct w:val="0"/>
        <w:bidi w:val="0"/>
        <w:spacing w:line="520" w:lineRule="exact"/>
        <w:jc w:val="center"/>
        <w:rPr>
          <w:rFonts w:hint="eastAsia" w:ascii="宋体" w:hAnsi="宋体" w:cs="宋体"/>
          <w:b/>
          <w:color w:val="auto"/>
          <w:szCs w:val="21"/>
          <w:highlight w:val="none"/>
        </w:rPr>
      </w:pPr>
      <w:r>
        <w:rPr>
          <w:rFonts w:ascii="宋体" w:hAnsi="宋体" w:cs="宋体"/>
          <w:color w:val="auto"/>
          <w:szCs w:val="21"/>
          <w:highlight w:val="none"/>
        </w:rPr>
        <w:br w:type="page"/>
      </w:r>
      <w:bookmarkEnd w:id="392"/>
      <w:bookmarkEnd w:id="393"/>
      <w:bookmarkEnd w:id="394"/>
      <w:bookmarkEnd w:id="395"/>
      <w:bookmarkEnd w:id="396"/>
      <w:r>
        <w:rPr>
          <w:rFonts w:hint="eastAsia" w:ascii="宋体" w:hAnsi="宋体" w:cs="宋体"/>
          <w:b/>
          <w:color w:val="auto"/>
          <w:szCs w:val="21"/>
          <w:highlight w:val="none"/>
        </w:rPr>
        <w:t>1</w:t>
      </w:r>
      <w:r>
        <w:rPr>
          <w:rFonts w:ascii="宋体" w:hAnsi="宋体" w:cs="宋体"/>
          <w:b/>
          <w:color w:val="auto"/>
          <w:szCs w:val="21"/>
          <w:highlight w:val="none"/>
        </w:rPr>
        <w:t>4</w:t>
      </w:r>
      <w:r>
        <w:rPr>
          <w:rFonts w:hint="eastAsia" w:ascii="宋体" w:hAnsi="宋体" w:cs="宋体"/>
          <w:b/>
          <w:color w:val="auto"/>
          <w:szCs w:val="21"/>
          <w:highlight w:val="none"/>
        </w:rPr>
        <w:t>.2残疾人福利性单位声明函</w:t>
      </w:r>
    </w:p>
    <w:p>
      <w:pPr>
        <w:pageBreakBefore w:val="0"/>
        <w:kinsoku/>
        <w:wordWrap w:val="0"/>
        <w:overflowPunct/>
        <w:topLinePunct w:val="0"/>
        <w:bidi w:val="0"/>
        <w:spacing w:line="588" w:lineRule="exact"/>
        <w:rPr>
          <w:rFonts w:hint="eastAsia" w:ascii="宋体" w:hAnsi="宋体" w:cs="宋体"/>
          <w:b/>
          <w:color w:val="auto"/>
          <w:spacing w:val="6"/>
          <w:szCs w:val="21"/>
          <w:highlight w:val="none"/>
        </w:rPr>
      </w:pP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ageBreakBefore w:val="0"/>
        <w:kinsoku/>
        <w:wordWrap w:val="0"/>
        <w:overflowPunct/>
        <w:topLinePunct w:val="0"/>
        <w:bidi w:val="0"/>
        <w:spacing w:line="560" w:lineRule="exact"/>
        <w:ind w:firstLine="440" w:firstLineChars="200"/>
        <w:rPr>
          <w:rFonts w:hint="eastAsia"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pPr>
        <w:pageBreakBefore w:val="0"/>
        <w:kinsoku/>
        <w:wordWrap w:val="0"/>
        <w:overflowPunct/>
        <w:topLinePunct w:val="0"/>
        <w:bidi w:val="0"/>
        <w:spacing w:line="560" w:lineRule="exact"/>
        <w:rPr>
          <w:rFonts w:hint="eastAsia" w:ascii="宋体" w:hAnsi="宋体" w:cs="宋体"/>
          <w:color w:val="auto"/>
          <w:szCs w:val="21"/>
          <w:highlight w:val="none"/>
        </w:rPr>
      </w:pPr>
    </w:p>
    <w:p>
      <w:pPr>
        <w:pageBreakBefore w:val="0"/>
        <w:kinsoku/>
        <w:wordWrap w:val="0"/>
        <w:overflowPunct/>
        <w:topLinePunct w:val="0"/>
        <w:bidi w:val="0"/>
        <w:spacing w:line="560" w:lineRule="exact"/>
        <w:jc w:val="right"/>
        <w:rPr>
          <w:rFonts w:hint="eastAsia" w:ascii="宋体" w:hAnsi="宋体" w:cs="宋体"/>
          <w:color w:val="auto"/>
          <w:szCs w:val="21"/>
          <w:highlight w:val="none"/>
        </w:rPr>
      </w:pPr>
    </w:p>
    <w:p>
      <w:pPr>
        <w:pageBreakBefore w:val="0"/>
        <w:kinsoku/>
        <w:wordWrap w:val="0"/>
        <w:overflowPunct/>
        <w:topLinePunct w:val="0"/>
        <w:bidi w:val="0"/>
        <w:spacing w:line="560" w:lineRule="exact"/>
        <w:ind w:right="22" w:rightChars="10" w:firstLine="440" w:firstLineChars="200"/>
        <w:jc w:val="right"/>
        <w:rPr>
          <w:rFonts w:hint="eastAsia" w:ascii="宋体" w:hAnsi="宋体" w:cs="宋体"/>
          <w:color w:val="auto"/>
          <w:szCs w:val="21"/>
          <w:highlight w:val="none"/>
        </w:rPr>
      </w:pPr>
      <w:r>
        <w:rPr>
          <w:rFonts w:hint="eastAsia" w:ascii="宋体" w:hAnsi="宋体" w:cs="宋体"/>
          <w:color w:val="auto"/>
          <w:szCs w:val="21"/>
          <w:highlight w:val="none"/>
        </w:rPr>
        <w:t xml:space="preserve">    单位名称（盖章）： </w:t>
      </w:r>
      <w:r>
        <w:rPr>
          <w:rFonts w:ascii="宋体" w:hAnsi="宋体" w:cs="宋体"/>
          <w:color w:val="auto"/>
          <w:szCs w:val="21"/>
          <w:highlight w:val="none"/>
        </w:rPr>
        <w:t xml:space="preserve">          </w:t>
      </w:r>
      <w:r>
        <w:rPr>
          <w:rFonts w:hint="eastAsia" w:ascii="宋体" w:hAnsi="宋体" w:cs="宋体"/>
          <w:color w:val="auto"/>
          <w:szCs w:val="21"/>
          <w:highlight w:val="none"/>
        </w:rPr>
        <w:t xml:space="preserve"> </w:t>
      </w:r>
    </w:p>
    <w:p>
      <w:pPr>
        <w:pageBreakBefore w:val="0"/>
        <w:kinsoku/>
        <w:wordWrap w:val="0"/>
        <w:overflowPunct/>
        <w:topLinePunct w:val="0"/>
        <w:bidi w:val="0"/>
        <w:spacing w:line="560" w:lineRule="exact"/>
        <w:ind w:right="22" w:rightChars="10" w:firstLine="440" w:firstLineChars="200"/>
        <w:jc w:val="right"/>
        <w:rPr>
          <w:rFonts w:hint="eastAsia" w:ascii="宋体" w:hAnsi="宋体" w:cs="宋体"/>
          <w:color w:val="auto"/>
          <w:szCs w:val="21"/>
          <w:highlight w:val="none"/>
        </w:rPr>
      </w:pPr>
      <w:r>
        <w:rPr>
          <w:rFonts w:hint="eastAsia" w:ascii="宋体" w:hAnsi="宋体" w:cs="宋体"/>
          <w:color w:val="auto"/>
          <w:szCs w:val="21"/>
          <w:highlight w:val="none"/>
        </w:rPr>
        <w:t xml:space="preserve">日  期： </w:t>
      </w:r>
      <w:r>
        <w:rPr>
          <w:rFonts w:ascii="宋体" w:hAnsi="宋体" w:cs="宋体"/>
          <w:color w:val="auto"/>
          <w:szCs w:val="21"/>
          <w:highlight w:val="none"/>
        </w:rPr>
        <w:t xml:space="preserve">           </w:t>
      </w:r>
    </w:p>
    <w:p>
      <w:pPr>
        <w:pStyle w:val="14"/>
        <w:pageBreakBefore w:val="0"/>
        <w:kinsoku/>
        <w:wordWrap w:val="0"/>
        <w:overflowPunct/>
        <w:topLinePunct w:val="0"/>
        <w:bidi w:val="0"/>
        <w:spacing w:line="560" w:lineRule="exact"/>
        <w:jc w:val="right"/>
        <w:rPr>
          <w:rFonts w:hint="eastAsia" w:hAnsi="宋体" w:cs="宋体"/>
          <w:color w:val="auto"/>
          <w:highlight w:val="none"/>
        </w:rPr>
      </w:pPr>
    </w:p>
    <w:p>
      <w:pPr>
        <w:pStyle w:val="14"/>
        <w:pageBreakBefore w:val="0"/>
        <w:kinsoku/>
        <w:wordWrap w:val="0"/>
        <w:overflowPunct/>
        <w:topLinePunct w:val="0"/>
        <w:bidi w:val="0"/>
        <w:spacing w:line="560" w:lineRule="exact"/>
        <w:jc w:val="right"/>
        <w:rPr>
          <w:rFonts w:hint="eastAsia" w:hAnsi="宋体" w:cs="宋体"/>
          <w:color w:val="auto"/>
          <w:highlight w:val="none"/>
        </w:rPr>
      </w:pPr>
    </w:p>
    <w:p>
      <w:pPr>
        <w:pStyle w:val="14"/>
        <w:pageBreakBefore w:val="0"/>
        <w:kinsoku/>
        <w:wordWrap w:val="0"/>
        <w:overflowPunct/>
        <w:topLinePunct w:val="0"/>
        <w:bidi w:val="0"/>
        <w:spacing w:line="560" w:lineRule="exact"/>
        <w:jc w:val="right"/>
        <w:rPr>
          <w:rFonts w:hint="eastAsia" w:hAnsi="宋体" w:cs="宋体"/>
          <w:color w:val="auto"/>
          <w:highlight w:val="none"/>
        </w:rPr>
      </w:pPr>
    </w:p>
    <w:p>
      <w:pPr>
        <w:pStyle w:val="14"/>
        <w:pageBreakBefore w:val="0"/>
        <w:kinsoku/>
        <w:wordWrap w:val="0"/>
        <w:overflowPunct/>
        <w:topLinePunct w:val="0"/>
        <w:bidi w:val="0"/>
        <w:spacing w:line="560" w:lineRule="exact"/>
        <w:jc w:val="right"/>
        <w:rPr>
          <w:rFonts w:hint="eastAsia" w:hAnsi="宋体" w:cs="宋体"/>
          <w:color w:val="auto"/>
          <w:highlight w:val="none"/>
        </w:rPr>
      </w:pPr>
    </w:p>
    <w:p>
      <w:pPr>
        <w:pageBreakBefore w:val="0"/>
        <w:kinsoku/>
        <w:wordWrap w:val="0"/>
        <w:overflowPunct/>
        <w:topLinePunct w:val="0"/>
        <w:bidi w:val="0"/>
        <w:spacing w:line="560" w:lineRule="exact"/>
        <w:rPr>
          <w:rFonts w:hint="eastAsia" w:ascii="宋体" w:hAnsi="宋体" w:cs="宋体"/>
          <w:b/>
          <w:bCs/>
          <w:color w:val="auto"/>
          <w:szCs w:val="21"/>
          <w:highlight w:val="none"/>
        </w:rPr>
      </w:pPr>
      <w:r>
        <w:rPr>
          <w:rFonts w:hint="eastAsia" w:ascii="宋体" w:hAnsi="宋体" w:cs="宋体"/>
          <w:color w:val="auto"/>
          <w:szCs w:val="21"/>
          <w:highlight w:val="none"/>
        </w:rPr>
        <w:t>注：</w:t>
      </w:r>
      <w:r>
        <w:rPr>
          <w:rFonts w:hint="eastAsia" w:ascii="宋体" w:hAnsi="宋体" w:cs="宋体"/>
          <w:b/>
          <w:bCs/>
          <w:color w:val="auto"/>
          <w:szCs w:val="21"/>
          <w:highlight w:val="none"/>
        </w:rPr>
        <w:t>1、该声明函是针对残疾人福利性单位的，非残疾人福利性单位不用提供该声明。</w:t>
      </w:r>
    </w:p>
    <w:p>
      <w:pPr>
        <w:pageBreakBefore w:val="0"/>
        <w:kinsoku/>
        <w:wordWrap w:val="0"/>
        <w:overflowPunct/>
        <w:topLinePunct w:val="0"/>
        <w:bidi w:val="0"/>
        <w:spacing w:line="560" w:lineRule="exact"/>
        <w:rPr>
          <w:rFonts w:hint="eastAsia" w:ascii="宋体" w:hAnsi="宋体" w:cs="宋体"/>
          <w:color w:val="auto"/>
          <w:szCs w:val="21"/>
          <w:highlight w:val="none"/>
        </w:rPr>
      </w:pPr>
      <w:r>
        <w:rPr>
          <w:rFonts w:hint="eastAsia" w:ascii="宋体" w:hAnsi="宋体" w:cs="宋体"/>
          <w:color w:val="auto"/>
          <w:szCs w:val="21"/>
          <w:highlight w:val="none"/>
        </w:rPr>
        <w:t>2、根据财库〔2017〕141号《三部门联合发布关于促进残疾人就业政府采购政策的通知》残疾人福利性单位视同小型、微型企业，属于残疾人福利性单位的提供《残疾人福利性单位声明函》，不再提供《中小微企业声明函》，</w:t>
      </w:r>
      <w:r>
        <w:rPr>
          <w:rFonts w:hint="eastAsia" w:ascii="宋体" w:hAnsi="宋体" w:cs="宋体"/>
          <w:b/>
          <w:bCs/>
          <w:color w:val="auto"/>
          <w:szCs w:val="21"/>
          <w:highlight w:val="none"/>
        </w:rPr>
        <w:t>供应商在《残疾人福利性单位声明函》中的承诺如有虚假，其中标资格将被取消，并列入财政部“政府采购严重违法失信行为信息记录”</w:t>
      </w:r>
      <w:r>
        <w:rPr>
          <w:rFonts w:hint="eastAsia" w:ascii="宋体" w:hAnsi="宋体" w:cs="宋体"/>
          <w:color w:val="auto"/>
          <w:szCs w:val="21"/>
          <w:highlight w:val="none"/>
        </w:rPr>
        <w:t>。</w:t>
      </w:r>
    </w:p>
    <w:p>
      <w:pPr>
        <w:pageBreakBefore w:val="0"/>
        <w:kinsoku/>
        <w:wordWrap w:val="0"/>
        <w:overflowPunct/>
        <w:topLinePunct w:val="0"/>
        <w:bidi w:val="0"/>
        <w:spacing w:line="520" w:lineRule="exact"/>
        <w:jc w:val="center"/>
        <w:rPr>
          <w:rFonts w:ascii="宋体" w:hAnsi="宋体" w:cs="宋体"/>
          <w:b/>
          <w:color w:val="auto"/>
          <w:szCs w:val="21"/>
          <w:highlight w:val="none"/>
        </w:rPr>
      </w:pPr>
      <w:r>
        <w:rPr>
          <w:rFonts w:ascii="宋体" w:hAnsi="宋体" w:cs="宋体"/>
          <w:color w:val="auto"/>
          <w:sz w:val="24"/>
          <w:highlight w:val="none"/>
        </w:rPr>
        <w:br w:type="page"/>
      </w:r>
      <w:r>
        <w:rPr>
          <w:rFonts w:hint="eastAsia" w:ascii="宋体" w:hAnsi="宋体" w:cs="宋体"/>
          <w:b/>
          <w:color w:val="auto"/>
          <w:szCs w:val="21"/>
          <w:highlight w:val="none"/>
        </w:rPr>
        <w:t>1</w:t>
      </w:r>
      <w:r>
        <w:rPr>
          <w:rFonts w:ascii="宋体" w:hAnsi="宋体" w:cs="宋体"/>
          <w:b/>
          <w:color w:val="auto"/>
          <w:szCs w:val="21"/>
          <w:highlight w:val="none"/>
        </w:rPr>
        <w:t>4</w:t>
      </w:r>
      <w:r>
        <w:rPr>
          <w:rFonts w:hint="eastAsia" w:ascii="宋体" w:hAnsi="宋体" w:cs="宋体"/>
          <w:b/>
          <w:color w:val="auto"/>
          <w:szCs w:val="21"/>
          <w:highlight w:val="none"/>
        </w:rPr>
        <w:t>.3 供应商及投标产品适用政府采购政策情况表</w:t>
      </w:r>
    </w:p>
    <w:p>
      <w:pPr>
        <w:pageBreakBefore w:val="0"/>
        <w:kinsoku/>
        <w:wordWrap w:val="0"/>
        <w:overflowPunct/>
        <w:topLinePunct w:val="0"/>
        <w:bidi w:val="0"/>
        <w:jc w:val="center"/>
        <w:rPr>
          <w:rFonts w:hint="eastAsia" w:ascii="宋体" w:hAnsi="宋体" w:cs="宋体"/>
          <w:b/>
          <w:color w:val="auto"/>
          <w:szCs w:val="21"/>
          <w:highlight w:val="none"/>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2697"/>
        <w:gridCol w:w="2025"/>
        <w:gridCol w:w="1734"/>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47" w:type="dxa"/>
            <w:vMerge w:val="restart"/>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监狱企业、中小企业扶持政策</w:t>
            </w:r>
          </w:p>
        </w:tc>
        <w:tc>
          <w:tcPr>
            <w:tcW w:w="8055" w:type="dxa"/>
            <w:gridSpan w:val="4"/>
            <w:noWrap w:val="0"/>
            <w:vAlign w:val="center"/>
          </w:tcPr>
          <w:p>
            <w:pPr>
              <w:pageBreakBefore w:val="0"/>
              <w:tabs>
                <w:tab w:val="left" w:pos="1260"/>
              </w:tabs>
              <w:kinsoku/>
              <w:wordWrap w:val="0"/>
              <w:overflowPunct/>
              <w:topLinePunct w:val="0"/>
              <w:bidi w:val="0"/>
              <w:spacing w:before="40" w:after="40" w:line="480" w:lineRule="exact"/>
              <w:rPr>
                <w:rFonts w:hint="eastAsia" w:ascii="宋体" w:hAnsi="宋体" w:cs="宋体"/>
                <w:color w:val="auto"/>
                <w:szCs w:val="21"/>
                <w:highlight w:val="none"/>
                <w:lang w:val="en-GB"/>
              </w:rPr>
            </w:pPr>
            <w:r>
              <w:rPr>
                <w:rFonts w:hint="eastAsia" w:ascii="宋体" w:hAnsi="宋体" w:cs="宋体"/>
                <w:color w:val="auto"/>
                <w:szCs w:val="21"/>
                <w:highlight w:val="none"/>
                <w:lang w:val="en-GB"/>
              </w:rPr>
              <w:t>如属所列情形的，请在括号内打“√”：</w:t>
            </w:r>
          </w:p>
          <w:p>
            <w:pPr>
              <w:pageBreakBefore w:val="0"/>
              <w:tabs>
                <w:tab w:val="left" w:pos="1260"/>
              </w:tabs>
              <w:kinsoku/>
              <w:wordWrap w:val="0"/>
              <w:overflowPunct/>
              <w:topLinePunct w:val="0"/>
              <w:bidi w:val="0"/>
              <w:spacing w:before="40" w:after="40" w:line="480" w:lineRule="exact"/>
              <w:rPr>
                <w:rFonts w:hint="eastAsia" w:ascii="宋体" w:hAnsi="宋体" w:cs="宋体"/>
                <w:color w:val="auto"/>
                <w:szCs w:val="21"/>
                <w:highlight w:val="none"/>
                <w:lang w:val="en-GB"/>
              </w:rPr>
            </w:pPr>
            <w:r>
              <w:rPr>
                <w:rFonts w:hint="eastAsia" w:ascii="宋体" w:hAnsi="宋体" w:cs="宋体"/>
                <w:color w:val="auto"/>
                <w:szCs w:val="21"/>
                <w:highlight w:val="none"/>
              </w:rPr>
              <w:t>（  ）投标单位为监狱企业。</w:t>
            </w:r>
          </w:p>
          <w:p>
            <w:pPr>
              <w:pageBreakBefore w:val="0"/>
              <w:tabs>
                <w:tab w:val="left" w:pos="1260"/>
              </w:tabs>
              <w:kinsoku/>
              <w:wordWrap w:val="0"/>
              <w:overflowPunct/>
              <w:topLinePunct w:val="0"/>
              <w:bidi w:val="0"/>
              <w:spacing w:before="40" w:after="40" w:line="480" w:lineRule="exact"/>
              <w:rPr>
                <w:rFonts w:hint="eastAsia" w:ascii="宋体" w:hAnsi="宋体" w:cs="宋体"/>
                <w:color w:val="auto"/>
                <w:szCs w:val="21"/>
                <w:highlight w:val="none"/>
              </w:rPr>
            </w:pPr>
            <w:r>
              <w:rPr>
                <w:rFonts w:hint="eastAsia" w:ascii="宋体" w:hAnsi="宋体" w:cs="宋体"/>
                <w:color w:val="auto"/>
                <w:szCs w:val="21"/>
                <w:highlight w:val="none"/>
              </w:rPr>
              <w:t>（  ）小型、微型企业投标且提供本企业制造的产品。</w:t>
            </w:r>
          </w:p>
          <w:p>
            <w:pPr>
              <w:pageBreakBefore w:val="0"/>
              <w:tabs>
                <w:tab w:val="left" w:pos="1260"/>
              </w:tabs>
              <w:kinsoku/>
              <w:wordWrap w:val="0"/>
              <w:overflowPunct/>
              <w:topLinePunct w:val="0"/>
              <w:bidi w:val="0"/>
              <w:spacing w:before="40" w:after="40" w:line="480" w:lineRule="exact"/>
              <w:rPr>
                <w:rFonts w:hint="eastAsia" w:ascii="宋体" w:hAnsi="宋体" w:cs="宋体"/>
                <w:color w:val="auto"/>
                <w:szCs w:val="21"/>
                <w:highlight w:val="none"/>
              </w:rPr>
            </w:pPr>
            <w:r>
              <w:rPr>
                <w:rFonts w:hint="eastAsia" w:ascii="宋体" w:hAnsi="宋体" w:cs="宋体"/>
                <w:color w:val="auto"/>
                <w:szCs w:val="21"/>
                <w:highlight w:val="none"/>
              </w:rPr>
              <w:t>（  ）小微企业投标且提供其它小型、微型企业产品的，请填写下表内容：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continue"/>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2697"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产品名称（品牌、型号）</w:t>
            </w:r>
          </w:p>
        </w:tc>
        <w:tc>
          <w:tcPr>
            <w:tcW w:w="2025"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制造商</w:t>
            </w:r>
          </w:p>
        </w:tc>
        <w:tc>
          <w:tcPr>
            <w:tcW w:w="1734"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制造商</w:t>
            </w:r>
          </w:p>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企业类型</w:t>
            </w:r>
          </w:p>
        </w:tc>
        <w:tc>
          <w:tcPr>
            <w:tcW w:w="1599"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continue"/>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2697"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p>
        </w:tc>
        <w:tc>
          <w:tcPr>
            <w:tcW w:w="2025"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p>
        </w:tc>
        <w:tc>
          <w:tcPr>
            <w:tcW w:w="1734"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p>
        </w:tc>
        <w:tc>
          <w:tcPr>
            <w:tcW w:w="1599"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continue"/>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6456" w:type="dxa"/>
            <w:gridSpan w:val="3"/>
            <w:noWrap w:val="0"/>
            <w:vAlign w:val="center"/>
          </w:tcPr>
          <w:p>
            <w:pPr>
              <w:pageBreakBefore w:val="0"/>
              <w:tabs>
                <w:tab w:val="left" w:pos="1260"/>
              </w:tabs>
              <w:kinsoku/>
              <w:wordWrap w:val="0"/>
              <w:overflowPunct/>
              <w:topLinePunct w:val="0"/>
              <w:bidi w:val="0"/>
              <w:spacing w:before="40" w:after="40"/>
              <w:jc w:val="center"/>
              <w:rPr>
                <w:rFonts w:hint="eastAsia" w:ascii="宋体" w:hAnsi="宋体" w:cs="宋体"/>
                <w:color w:val="auto"/>
                <w:szCs w:val="21"/>
                <w:highlight w:val="none"/>
                <w:lang w:val="en-GB"/>
              </w:rPr>
            </w:pPr>
            <w:r>
              <w:rPr>
                <w:rFonts w:hint="eastAsia" w:ascii="宋体" w:hAnsi="宋体" w:cs="宋体"/>
                <w:color w:val="auto"/>
                <w:szCs w:val="21"/>
                <w:highlight w:val="none"/>
              </w:rPr>
              <w:t>小型、微型企业产品</w:t>
            </w:r>
            <w:r>
              <w:rPr>
                <w:rFonts w:hint="eastAsia" w:ascii="宋体" w:hAnsi="宋体" w:cs="宋体"/>
                <w:color w:val="auto"/>
                <w:szCs w:val="21"/>
                <w:highlight w:val="none"/>
                <w:lang w:val="en-GB"/>
              </w:rPr>
              <w:t>金额合计</w:t>
            </w:r>
          </w:p>
        </w:tc>
        <w:tc>
          <w:tcPr>
            <w:tcW w:w="1599" w:type="dxa"/>
            <w:noWrap w:val="0"/>
            <w:vAlign w:val="center"/>
          </w:tcPr>
          <w:p>
            <w:pPr>
              <w:pageBreakBefore w:val="0"/>
              <w:tabs>
                <w:tab w:val="left" w:pos="1260"/>
              </w:tabs>
              <w:kinsoku/>
              <w:wordWrap w:val="0"/>
              <w:overflowPunct/>
              <w:topLinePunct w:val="0"/>
              <w:bidi w:val="0"/>
              <w:spacing w:before="40" w:after="40" w:line="480" w:lineRule="exact"/>
              <w:jc w:val="center"/>
              <w:rPr>
                <w:rFonts w:hint="eastAsia" w:ascii="宋体" w:hAnsi="宋体" w:cs="宋体"/>
                <w:color w:val="auto"/>
                <w:szCs w:val="21"/>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restart"/>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节能</w:t>
            </w:r>
          </w:p>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产品</w:t>
            </w:r>
          </w:p>
        </w:tc>
        <w:tc>
          <w:tcPr>
            <w:tcW w:w="2697" w:type="dxa"/>
            <w:noWrap w:val="0"/>
            <w:vAlign w:val="center"/>
          </w:tcPr>
          <w:p>
            <w:pPr>
              <w:pageBreakBefore w:val="0"/>
              <w:tabs>
                <w:tab w:val="left" w:pos="1260"/>
              </w:tabs>
              <w:kinsoku/>
              <w:wordWrap w:val="0"/>
              <w:overflowPunct/>
              <w:topLinePunct w:val="0"/>
              <w:bidi w:val="0"/>
              <w:spacing w:before="40" w:after="4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产品名称（品牌、型号）</w:t>
            </w:r>
          </w:p>
        </w:tc>
        <w:tc>
          <w:tcPr>
            <w:tcW w:w="3759" w:type="dxa"/>
            <w:gridSpan w:val="2"/>
            <w:noWrap w:val="0"/>
            <w:vAlign w:val="center"/>
          </w:tcPr>
          <w:p>
            <w:pPr>
              <w:pageBreakBefore w:val="0"/>
              <w:tabs>
                <w:tab w:val="left" w:pos="1260"/>
              </w:tabs>
              <w:kinsoku/>
              <w:wordWrap w:val="0"/>
              <w:overflowPunct/>
              <w:topLinePunct w:val="0"/>
              <w:bidi w:val="0"/>
              <w:spacing w:before="40" w:after="4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制造商</w:t>
            </w:r>
          </w:p>
        </w:tc>
        <w:tc>
          <w:tcPr>
            <w:tcW w:w="1599" w:type="dxa"/>
            <w:noWrap w:val="0"/>
            <w:vAlign w:val="center"/>
          </w:tcPr>
          <w:p>
            <w:pPr>
              <w:pageBreakBefore w:val="0"/>
              <w:tabs>
                <w:tab w:val="left" w:pos="1260"/>
              </w:tabs>
              <w:kinsoku/>
              <w:wordWrap w:val="0"/>
              <w:overflowPunct/>
              <w:topLinePunct w:val="0"/>
              <w:bidi w:val="0"/>
              <w:spacing w:before="40" w:after="4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continue"/>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2697" w:type="dxa"/>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3759" w:type="dxa"/>
            <w:gridSpan w:val="2"/>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1599" w:type="dxa"/>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continue"/>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2697" w:type="dxa"/>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3759" w:type="dxa"/>
            <w:gridSpan w:val="2"/>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1599" w:type="dxa"/>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restart"/>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环境标志产品</w:t>
            </w:r>
          </w:p>
        </w:tc>
        <w:tc>
          <w:tcPr>
            <w:tcW w:w="2697" w:type="dxa"/>
            <w:noWrap w:val="0"/>
            <w:vAlign w:val="center"/>
          </w:tcPr>
          <w:p>
            <w:pPr>
              <w:pageBreakBefore w:val="0"/>
              <w:tabs>
                <w:tab w:val="left" w:pos="1260"/>
              </w:tabs>
              <w:kinsoku/>
              <w:wordWrap w:val="0"/>
              <w:overflowPunct/>
              <w:topLinePunct w:val="0"/>
              <w:bidi w:val="0"/>
              <w:spacing w:before="40" w:after="4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产品名称（品牌、型号）</w:t>
            </w:r>
          </w:p>
        </w:tc>
        <w:tc>
          <w:tcPr>
            <w:tcW w:w="3759" w:type="dxa"/>
            <w:gridSpan w:val="2"/>
            <w:noWrap w:val="0"/>
            <w:vAlign w:val="center"/>
          </w:tcPr>
          <w:p>
            <w:pPr>
              <w:pageBreakBefore w:val="0"/>
              <w:tabs>
                <w:tab w:val="left" w:pos="1260"/>
              </w:tabs>
              <w:kinsoku/>
              <w:wordWrap w:val="0"/>
              <w:overflowPunct/>
              <w:topLinePunct w:val="0"/>
              <w:bidi w:val="0"/>
              <w:spacing w:before="40" w:after="4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制造商</w:t>
            </w:r>
          </w:p>
        </w:tc>
        <w:tc>
          <w:tcPr>
            <w:tcW w:w="1599" w:type="dxa"/>
            <w:noWrap w:val="0"/>
            <w:vAlign w:val="center"/>
          </w:tcPr>
          <w:p>
            <w:pPr>
              <w:pageBreakBefore w:val="0"/>
              <w:tabs>
                <w:tab w:val="left" w:pos="1260"/>
              </w:tabs>
              <w:kinsoku/>
              <w:wordWrap w:val="0"/>
              <w:overflowPunct/>
              <w:topLinePunct w:val="0"/>
              <w:bidi w:val="0"/>
              <w:spacing w:before="40" w:after="40"/>
              <w:jc w:val="center"/>
              <w:rPr>
                <w:rFonts w:hint="eastAsia" w:ascii="宋体" w:hAnsi="宋体" w:cs="宋体"/>
                <w:color w:val="auto"/>
                <w:szCs w:val="21"/>
                <w:highlight w:val="none"/>
                <w:lang w:val="en-GB"/>
              </w:rPr>
            </w:pPr>
            <w:r>
              <w:rPr>
                <w:rFonts w:hint="eastAsia" w:ascii="宋体" w:hAnsi="宋体" w:cs="宋体"/>
                <w:color w:val="auto"/>
                <w:szCs w:val="21"/>
                <w:highlight w:val="none"/>
                <w:lang w:val="en-GB"/>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continue"/>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2697" w:type="dxa"/>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3759" w:type="dxa"/>
            <w:gridSpan w:val="2"/>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c>
          <w:tcPr>
            <w:tcW w:w="1599" w:type="dxa"/>
            <w:noWrap w:val="0"/>
            <w:vAlign w:val="center"/>
          </w:tcPr>
          <w:p>
            <w:pPr>
              <w:pageBreakBefore w:val="0"/>
              <w:tabs>
                <w:tab w:val="left" w:pos="1260"/>
              </w:tabs>
              <w:kinsoku/>
              <w:wordWrap w:val="0"/>
              <w:overflowPunct/>
              <w:topLinePunct w:val="0"/>
              <w:bidi w:val="0"/>
              <w:spacing w:before="156" w:after="156" w:line="480" w:lineRule="exact"/>
              <w:jc w:val="center"/>
              <w:rPr>
                <w:rFonts w:hint="eastAsia" w:ascii="宋体" w:hAnsi="宋体" w:cs="宋体"/>
                <w:color w:val="auto"/>
                <w:szCs w:val="21"/>
                <w:highlight w:val="none"/>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947" w:type="dxa"/>
            <w:vMerge w:val="continue"/>
            <w:noWrap w:val="0"/>
            <w:vAlign w:val="center"/>
          </w:tcPr>
          <w:p>
            <w:pPr>
              <w:pageBreakBefore w:val="0"/>
              <w:tabs>
                <w:tab w:val="left" w:pos="1260"/>
              </w:tabs>
              <w:kinsoku/>
              <w:wordWrap w:val="0"/>
              <w:overflowPunct/>
              <w:topLinePunct w:val="0"/>
              <w:bidi w:val="0"/>
              <w:spacing w:before="156" w:after="156"/>
              <w:jc w:val="center"/>
              <w:rPr>
                <w:rFonts w:hint="eastAsia" w:ascii="宋体" w:hAnsi="宋体" w:cs="宋体"/>
                <w:color w:val="auto"/>
                <w:szCs w:val="21"/>
                <w:highlight w:val="none"/>
                <w:lang w:val="en-GB"/>
              </w:rPr>
            </w:pPr>
          </w:p>
        </w:tc>
        <w:tc>
          <w:tcPr>
            <w:tcW w:w="2697" w:type="dxa"/>
            <w:noWrap w:val="0"/>
            <w:vAlign w:val="center"/>
          </w:tcPr>
          <w:p>
            <w:pPr>
              <w:pageBreakBefore w:val="0"/>
              <w:tabs>
                <w:tab w:val="left" w:pos="1260"/>
              </w:tabs>
              <w:kinsoku/>
              <w:wordWrap w:val="0"/>
              <w:overflowPunct/>
              <w:topLinePunct w:val="0"/>
              <w:bidi w:val="0"/>
              <w:spacing w:before="156" w:after="156"/>
              <w:jc w:val="center"/>
              <w:rPr>
                <w:rFonts w:hint="eastAsia" w:ascii="宋体" w:hAnsi="宋体" w:cs="宋体"/>
                <w:color w:val="auto"/>
                <w:szCs w:val="21"/>
                <w:highlight w:val="none"/>
                <w:lang w:val="en-GB"/>
              </w:rPr>
            </w:pPr>
          </w:p>
        </w:tc>
        <w:tc>
          <w:tcPr>
            <w:tcW w:w="3759" w:type="dxa"/>
            <w:gridSpan w:val="2"/>
            <w:noWrap w:val="0"/>
            <w:vAlign w:val="center"/>
          </w:tcPr>
          <w:p>
            <w:pPr>
              <w:pageBreakBefore w:val="0"/>
              <w:tabs>
                <w:tab w:val="left" w:pos="1260"/>
              </w:tabs>
              <w:kinsoku/>
              <w:wordWrap w:val="0"/>
              <w:overflowPunct/>
              <w:topLinePunct w:val="0"/>
              <w:bidi w:val="0"/>
              <w:spacing w:before="156" w:after="156"/>
              <w:jc w:val="center"/>
              <w:rPr>
                <w:rFonts w:hint="eastAsia" w:ascii="宋体" w:hAnsi="宋体" w:cs="宋体"/>
                <w:color w:val="auto"/>
                <w:szCs w:val="21"/>
                <w:highlight w:val="none"/>
                <w:lang w:val="en-GB"/>
              </w:rPr>
            </w:pPr>
          </w:p>
        </w:tc>
        <w:tc>
          <w:tcPr>
            <w:tcW w:w="1599" w:type="dxa"/>
            <w:noWrap w:val="0"/>
            <w:vAlign w:val="center"/>
          </w:tcPr>
          <w:p>
            <w:pPr>
              <w:pageBreakBefore w:val="0"/>
              <w:tabs>
                <w:tab w:val="left" w:pos="1260"/>
              </w:tabs>
              <w:kinsoku/>
              <w:wordWrap w:val="0"/>
              <w:overflowPunct/>
              <w:topLinePunct w:val="0"/>
              <w:bidi w:val="0"/>
              <w:spacing w:before="156" w:after="156"/>
              <w:jc w:val="center"/>
              <w:rPr>
                <w:rFonts w:hint="eastAsia" w:ascii="宋体" w:hAnsi="宋体" w:cs="宋体"/>
                <w:color w:val="auto"/>
                <w:szCs w:val="21"/>
                <w:highlight w:val="none"/>
                <w:lang w:val="en-GB"/>
              </w:rPr>
            </w:pPr>
          </w:p>
        </w:tc>
      </w:tr>
    </w:tbl>
    <w:p>
      <w:pPr>
        <w:pageBreakBefore w:val="0"/>
        <w:kinsoku/>
        <w:wordWrap w:val="0"/>
        <w:overflowPunct/>
        <w:topLinePunct w:val="0"/>
        <w:bidi w:val="0"/>
        <w:spacing w:line="276" w:lineRule="auto"/>
        <w:ind w:left="718" w:hanging="752" w:hangingChars="342"/>
        <w:rPr>
          <w:rFonts w:hint="eastAsia" w:ascii="宋体" w:hAnsi="宋体" w:cs="宋体"/>
          <w:color w:val="auto"/>
          <w:szCs w:val="21"/>
          <w:highlight w:val="none"/>
          <w:lang w:val="en-GB"/>
        </w:rPr>
      </w:pPr>
      <w:r>
        <w:rPr>
          <w:rFonts w:hint="eastAsia" w:ascii="宋体" w:hAnsi="宋体" w:cs="宋体"/>
          <w:color w:val="auto"/>
          <w:szCs w:val="21"/>
          <w:highlight w:val="none"/>
          <w:lang w:val="en-GB"/>
        </w:rPr>
        <w:t>填报要求：</w:t>
      </w:r>
    </w:p>
    <w:p>
      <w:pPr>
        <w:pageBreakBefore w:val="0"/>
        <w:widowControl/>
        <w:numPr>
          <w:ilvl w:val="0"/>
          <w:numId w:val="6"/>
        </w:numPr>
        <w:tabs>
          <w:tab w:val="left" w:pos="360"/>
        </w:tabs>
        <w:kinsoku/>
        <w:wordWrap w:val="0"/>
        <w:overflowPunct/>
        <w:topLinePunct w:val="0"/>
        <w:bidi w:val="0"/>
        <w:spacing w:line="240" w:lineRule="auto"/>
        <w:ind w:left="363" w:right="88" w:rightChars="40" w:hanging="363"/>
        <w:jc w:val="left"/>
        <w:rPr>
          <w:rFonts w:hint="eastAsia" w:ascii="宋体" w:hAnsi="宋体" w:cs="宋体"/>
          <w:color w:val="auto"/>
          <w:szCs w:val="21"/>
          <w:highlight w:val="none"/>
          <w:lang w:val="en-GB"/>
        </w:rPr>
      </w:pPr>
      <w:r>
        <w:rPr>
          <w:rFonts w:hint="eastAsia" w:ascii="宋体" w:hAnsi="宋体" w:cs="宋体"/>
          <w:color w:val="auto"/>
          <w:szCs w:val="21"/>
          <w:highlight w:val="none"/>
          <w:lang w:val="en-GB"/>
        </w:rPr>
        <w:t>制造商为监狱企业、小型或微型企业时才需要填“制造商企业类型”栏，填写内容为“小型”或“微型”。</w:t>
      </w:r>
    </w:p>
    <w:p>
      <w:pPr>
        <w:pageBreakBefore w:val="0"/>
        <w:widowControl/>
        <w:numPr>
          <w:ilvl w:val="0"/>
          <w:numId w:val="6"/>
        </w:numPr>
        <w:tabs>
          <w:tab w:val="left" w:pos="360"/>
        </w:tabs>
        <w:kinsoku/>
        <w:wordWrap w:val="0"/>
        <w:overflowPunct/>
        <w:topLinePunct w:val="0"/>
        <w:bidi w:val="0"/>
        <w:spacing w:line="240" w:lineRule="auto"/>
        <w:ind w:left="363" w:right="88" w:rightChars="40" w:hanging="363"/>
        <w:jc w:val="left"/>
        <w:rPr>
          <w:rFonts w:hint="eastAsia" w:ascii="宋体" w:hAnsi="宋体" w:cs="宋体"/>
          <w:color w:val="auto"/>
          <w:szCs w:val="21"/>
          <w:highlight w:val="none"/>
          <w:lang w:val="en-GB"/>
        </w:rPr>
      </w:pPr>
      <w:r>
        <w:rPr>
          <w:rFonts w:hint="eastAsia" w:ascii="宋体" w:hAnsi="宋体" w:cs="宋体"/>
          <w:color w:val="auto"/>
          <w:szCs w:val="21"/>
          <w:highlight w:val="none"/>
          <w:lang w:val="en-GB"/>
        </w:rPr>
        <w:t>节能产品是指</w:t>
      </w:r>
      <w:r>
        <w:rPr>
          <w:rFonts w:hint="eastAsia" w:ascii="宋体" w:hAnsi="宋体" w:cs="宋体"/>
          <w:color w:val="auto"/>
          <w:szCs w:val="21"/>
          <w:highlight w:val="none"/>
        </w:rPr>
        <w:t>属于</w:t>
      </w:r>
      <w:r>
        <w:rPr>
          <w:rFonts w:hint="eastAsia" w:ascii="宋体" w:hAnsi="宋体" w:cs="宋体"/>
          <w:color w:val="auto"/>
          <w:szCs w:val="21"/>
          <w:highlight w:val="none"/>
          <w:lang w:val="en-GB"/>
        </w:rPr>
        <w:t>财政部和国家发展改革委员会公布的最新《节能产品政府采购</w:t>
      </w:r>
      <w:r>
        <w:rPr>
          <w:rFonts w:hint="eastAsia" w:ascii="宋体" w:hAnsi="宋体" w:cs="宋体"/>
          <w:color w:val="auto"/>
          <w:szCs w:val="21"/>
          <w:highlight w:val="none"/>
        </w:rPr>
        <w:t>品目</w:t>
      </w:r>
      <w:r>
        <w:rPr>
          <w:rFonts w:hint="eastAsia" w:ascii="宋体" w:hAnsi="宋体" w:cs="宋体"/>
          <w:color w:val="auto"/>
          <w:szCs w:val="21"/>
          <w:highlight w:val="none"/>
          <w:lang w:val="en-GB"/>
        </w:rPr>
        <w:t>清单》中的</w:t>
      </w:r>
      <w:r>
        <w:rPr>
          <w:rFonts w:hint="eastAsia" w:ascii="宋体" w:hAnsi="宋体" w:cs="宋体"/>
          <w:color w:val="auto"/>
          <w:szCs w:val="21"/>
          <w:highlight w:val="none"/>
        </w:rPr>
        <w:t>清单范围</w:t>
      </w:r>
      <w:r>
        <w:rPr>
          <w:rFonts w:hint="eastAsia" w:ascii="宋体" w:hAnsi="宋体" w:cs="宋体"/>
          <w:color w:val="auto"/>
          <w:szCs w:val="21"/>
          <w:highlight w:val="none"/>
          <w:lang w:val="en-GB"/>
        </w:rPr>
        <w:t>产品；环境标志产品是指</w:t>
      </w:r>
      <w:r>
        <w:rPr>
          <w:rFonts w:hint="eastAsia" w:ascii="宋体" w:hAnsi="宋体" w:cs="宋体"/>
          <w:color w:val="auto"/>
          <w:szCs w:val="21"/>
          <w:highlight w:val="none"/>
        </w:rPr>
        <w:t>属于</w:t>
      </w:r>
      <w:r>
        <w:rPr>
          <w:rFonts w:hint="eastAsia" w:ascii="宋体" w:hAnsi="宋体" w:cs="宋体"/>
          <w:color w:val="auto"/>
          <w:szCs w:val="21"/>
          <w:highlight w:val="none"/>
          <w:lang w:val="en-GB"/>
        </w:rPr>
        <w:t>财政部、环境保护部发布的最新《环境标志产品政府采购</w:t>
      </w:r>
      <w:r>
        <w:rPr>
          <w:rFonts w:hint="eastAsia" w:ascii="宋体" w:hAnsi="宋体" w:cs="宋体"/>
          <w:color w:val="auto"/>
          <w:szCs w:val="21"/>
          <w:highlight w:val="none"/>
        </w:rPr>
        <w:t>品目</w:t>
      </w:r>
      <w:r>
        <w:rPr>
          <w:rFonts w:hint="eastAsia" w:ascii="宋体" w:hAnsi="宋体" w:cs="宋体"/>
          <w:color w:val="auto"/>
          <w:szCs w:val="21"/>
          <w:highlight w:val="none"/>
          <w:lang w:val="en-GB"/>
        </w:rPr>
        <w:t>清单》中的</w:t>
      </w:r>
      <w:r>
        <w:rPr>
          <w:rFonts w:hint="eastAsia" w:ascii="宋体" w:hAnsi="宋体" w:cs="宋体"/>
          <w:color w:val="auto"/>
          <w:szCs w:val="21"/>
          <w:highlight w:val="none"/>
        </w:rPr>
        <w:t>清单范围</w:t>
      </w:r>
      <w:r>
        <w:rPr>
          <w:rFonts w:hint="eastAsia" w:ascii="宋体" w:hAnsi="宋体" w:cs="宋体"/>
          <w:color w:val="auto"/>
          <w:szCs w:val="21"/>
          <w:highlight w:val="none"/>
          <w:lang w:val="en-GB"/>
        </w:rPr>
        <w:t>产品。属于品目清单范围的，请提供国家确定的认证机构出具的、处于有效期之内的节能产品、环境标志产品认证证书</w:t>
      </w:r>
      <w:r>
        <w:rPr>
          <w:rFonts w:hint="eastAsia" w:ascii="宋体" w:hAnsi="宋体" w:cs="宋体"/>
          <w:color w:val="auto"/>
          <w:szCs w:val="21"/>
          <w:highlight w:val="none"/>
        </w:rPr>
        <w:t>扫描件</w:t>
      </w:r>
      <w:r>
        <w:rPr>
          <w:rFonts w:hint="eastAsia" w:ascii="宋体" w:hAnsi="宋体" w:cs="宋体"/>
          <w:color w:val="auto"/>
          <w:szCs w:val="21"/>
          <w:highlight w:val="none"/>
          <w:lang w:val="en-GB"/>
        </w:rPr>
        <w:t>（并对相关内容作标注）。</w:t>
      </w:r>
    </w:p>
    <w:p>
      <w:pPr>
        <w:pageBreakBefore w:val="0"/>
        <w:widowControl/>
        <w:numPr>
          <w:ilvl w:val="0"/>
          <w:numId w:val="6"/>
        </w:numPr>
        <w:tabs>
          <w:tab w:val="left" w:pos="360"/>
        </w:tabs>
        <w:kinsoku/>
        <w:wordWrap w:val="0"/>
        <w:overflowPunct/>
        <w:topLinePunct w:val="0"/>
        <w:bidi w:val="0"/>
        <w:spacing w:line="240" w:lineRule="auto"/>
        <w:ind w:left="363" w:right="88" w:rightChars="40" w:hanging="363"/>
        <w:jc w:val="left"/>
        <w:rPr>
          <w:rFonts w:hint="eastAsia" w:ascii="宋体" w:hAnsi="宋体" w:cs="宋体"/>
          <w:color w:val="auto"/>
          <w:szCs w:val="21"/>
          <w:highlight w:val="none"/>
          <w:lang w:val="en-GB"/>
        </w:rPr>
      </w:pPr>
      <w:r>
        <w:rPr>
          <w:rFonts w:hint="eastAsia" w:ascii="宋体" w:hAnsi="宋体" w:cs="宋体"/>
          <w:color w:val="auto"/>
          <w:szCs w:val="21"/>
          <w:highlight w:val="none"/>
          <w:lang w:val="en-GB"/>
        </w:rPr>
        <w:t>请供应商正确填写本表，所填内容将作为评审的依据。其内容或数据应与对应的证明资料相符。</w:t>
      </w:r>
    </w:p>
    <w:p>
      <w:pPr>
        <w:pageBreakBefore w:val="0"/>
        <w:widowControl/>
        <w:numPr>
          <w:ilvl w:val="0"/>
          <w:numId w:val="6"/>
        </w:numPr>
        <w:tabs>
          <w:tab w:val="left" w:pos="360"/>
        </w:tabs>
        <w:kinsoku/>
        <w:wordWrap w:val="0"/>
        <w:overflowPunct/>
        <w:topLinePunct w:val="0"/>
        <w:bidi w:val="0"/>
        <w:spacing w:line="240" w:lineRule="auto"/>
        <w:ind w:left="363" w:right="88" w:rightChars="40" w:hanging="363"/>
        <w:jc w:val="left"/>
        <w:rPr>
          <w:rFonts w:hint="eastAsia" w:ascii="宋体" w:hAnsi="宋体" w:cs="宋体"/>
          <w:color w:val="auto"/>
          <w:sz w:val="24"/>
          <w:highlight w:val="none"/>
        </w:rPr>
      </w:pPr>
      <w:r>
        <w:rPr>
          <w:rFonts w:hint="eastAsia" w:ascii="宋体" w:hAnsi="宋体" w:cs="宋体"/>
          <w:color w:val="auto"/>
          <w:szCs w:val="21"/>
          <w:highlight w:val="none"/>
          <w:lang w:val="en-GB"/>
        </w:rPr>
        <w:t>没有相关产品可不填此表。</w:t>
      </w:r>
    </w:p>
    <w:p>
      <w:pPr>
        <w:pageBreakBefore w:val="0"/>
        <w:kinsoku/>
        <w:wordWrap w:val="0"/>
        <w:overflowPunct/>
        <w:topLinePunct w:val="0"/>
        <w:bidi w:val="0"/>
        <w:spacing w:line="520" w:lineRule="exact"/>
        <w:rPr>
          <w:rFonts w:hint="eastAsia" w:ascii="宋体" w:hAnsi="宋体" w:eastAsia="宋体" w:cs="宋体"/>
          <w:color w:val="auto"/>
          <w:sz w:val="24"/>
          <w:highlight w:val="none"/>
        </w:rPr>
      </w:pPr>
    </w:p>
    <w:p>
      <w:pPr>
        <w:pageBreakBefore w:val="0"/>
        <w:kinsoku/>
        <w:wordWrap w:val="0"/>
        <w:overflowPunct/>
        <w:topLinePunct w:val="0"/>
        <w:autoSpaceDE/>
        <w:autoSpaceDN/>
        <w:bidi w:val="0"/>
        <w:spacing w:line="360" w:lineRule="auto"/>
        <w:ind w:right="-13" w:rightChars="-6" w:firstLine="500" w:firstLineChars="200"/>
        <w:rPr>
          <w:rFonts w:hint="eastAsia" w:asciiTheme="minorEastAsia" w:hAnsiTheme="minorEastAsia" w:eastAsiaTheme="minorEastAsia" w:cstheme="minorEastAsia"/>
          <w:color w:val="auto"/>
          <w:spacing w:val="11"/>
          <w:w w:val="95"/>
          <w:sz w:val="24"/>
          <w:szCs w:val="24"/>
          <w:highlight w:val="none"/>
          <w:lang w:val="en-US"/>
        </w:rPr>
      </w:pPr>
    </w:p>
    <w:sectPr>
      <w:footerReference r:id="rId7" w:type="default"/>
      <w:pgSz w:w="11910" w:h="16840"/>
      <w:pgMar w:top="1361" w:right="1480" w:bottom="1361" w:left="1474" w:header="0" w:footer="1123"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auto"/>
    <w:pitch w:val="default"/>
    <w:sig w:usb0="00000000" w:usb1="00000000" w:usb2="00000016" w:usb3="00000000" w:csb0="001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p>
  <w:p>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p>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387E9B"/>
    <w:multiLevelType w:val="singleLevel"/>
    <w:tmpl w:val="F2387E9B"/>
    <w:lvl w:ilvl="0" w:tentative="0">
      <w:start w:val="1"/>
      <w:numFmt w:val="chineseCounting"/>
      <w:suff w:val="nothing"/>
      <w:lvlText w:val="%1、"/>
      <w:lvlJc w:val="left"/>
      <w:rPr>
        <w:rFonts w:hint="eastAsia"/>
      </w:rPr>
    </w:lvl>
  </w:abstractNum>
  <w:abstractNum w:abstractNumId="1">
    <w:nsid w:val="3C3B7111"/>
    <w:multiLevelType w:val="multilevel"/>
    <w:tmpl w:val="3C3B7111"/>
    <w:lvl w:ilvl="0" w:tentative="0">
      <w:start w:val="1"/>
      <w:numFmt w:val="decimal"/>
      <w:lvlText w:val="%1."/>
      <w:lvlJc w:val="left"/>
      <w:pPr>
        <w:tabs>
          <w:tab w:val="left" w:pos="960"/>
        </w:tabs>
        <w:ind w:left="960" w:hanging="420"/>
      </w:pPr>
      <w:rPr>
        <w:rFonts w:ascii="宋体" w:hAnsi="宋体" w:eastAsia="宋体" w:cs="宋体"/>
        <w:position w:val="0"/>
        <w:sz w:val="24"/>
        <w:szCs w:val="24"/>
      </w:rPr>
    </w:lvl>
    <w:lvl w:ilvl="1" w:tentative="0">
      <w:start w:val="1"/>
      <w:numFmt w:val="lowerLetter"/>
      <w:lvlText w:val="%2)"/>
      <w:lvlJc w:val="left"/>
      <w:pPr>
        <w:tabs>
          <w:tab w:val="left" w:pos="840"/>
        </w:tabs>
        <w:ind w:left="840" w:hanging="420"/>
      </w:pPr>
      <w:rPr>
        <w:rFonts w:ascii="宋体" w:hAnsi="宋体" w:eastAsia="宋体" w:cs="宋体"/>
        <w:position w:val="0"/>
        <w:sz w:val="24"/>
        <w:szCs w:val="24"/>
      </w:rPr>
    </w:lvl>
    <w:lvl w:ilvl="2" w:tentative="0">
      <w:start w:val="1"/>
      <w:numFmt w:val="lowerRoman"/>
      <w:lvlText w:val="%3."/>
      <w:lvlJc w:val="left"/>
      <w:pPr>
        <w:tabs>
          <w:tab w:val="left" w:pos="1260"/>
        </w:tabs>
        <w:ind w:left="1260" w:hanging="536"/>
      </w:pPr>
      <w:rPr>
        <w:rFonts w:ascii="宋体" w:hAnsi="宋体" w:eastAsia="宋体" w:cs="宋体"/>
        <w:position w:val="0"/>
        <w:sz w:val="24"/>
        <w:szCs w:val="24"/>
      </w:rPr>
    </w:lvl>
    <w:lvl w:ilvl="3" w:tentative="0">
      <w:start w:val="1"/>
      <w:numFmt w:val="decimal"/>
      <w:lvlText w:val="%4."/>
      <w:lvlJc w:val="left"/>
      <w:pPr>
        <w:tabs>
          <w:tab w:val="left" w:pos="1680"/>
        </w:tabs>
        <w:ind w:left="1680" w:hanging="420"/>
      </w:pPr>
      <w:rPr>
        <w:rFonts w:ascii="宋体" w:hAnsi="宋体" w:eastAsia="宋体" w:cs="宋体"/>
        <w:position w:val="0"/>
        <w:sz w:val="24"/>
        <w:szCs w:val="24"/>
      </w:rPr>
    </w:lvl>
    <w:lvl w:ilvl="4" w:tentative="0">
      <w:start w:val="1"/>
      <w:numFmt w:val="lowerLetter"/>
      <w:lvlText w:val="%5)"/>
      <w:lvlJc w:val="left"/>
      <w:pPr>
        <w:tabs>
          <w:tab w:val="left" w:pos="2100"/>
        </w:tabs>
        <w:ind w:left="2100" w:hanging="420"/>
      </w:pPr>
      <w:rPr>
        <w:rFonts w:ascii="宋体" w:hAnsi="宋体" w:eastAsia="宋体" w:cs="宋体"/>
        <w:position w:val="0"/>
        <w:sz w:val="24"/>
        <w:szCs w:val="24"/>
      </w:rPr>
    </w:lvl>
    <w:lvl w:ilvl="5" w:tentative="0">
      <w:start w:val="1"/>
      <w:numFmt w:val="lowerRoman"/>
      <w:lvlText w:val="%6."/>
      <w:lvlJc w:val="left"/>
      <w:pPr>
        <w:tabs>
          <w:tab w:val="left" w:pos="2520"/>
        </w:tabs>
        <w:ind w:left="2520" w:hanging="536"/>
      </w:pPr>
      <w:rPr>
        <w:rFonts w:ascii="宋体" w:hAnsi="宋体" w:eastAsia="宋体" w:cs="宋体"/>
        <w:position w:val="0"/>
        <w:sz w:val="24"/>
        <w:szCs w:val="24"/>
      </w:rPr>
    </w:lvl>
    <w:lvl w:ilvl="6" w:tentative="0">
      <w:start w:val="1"/>
      <w:numFmt w:val="decimal"/>
      <w:lvlText w:val="%7."/>
      <w:lvlJc w:val="left"/>
      <w:pPr>
        <w:tabs>
          <w:tab w:val="left" w:pos="2940"/>
        </w:tabs>
        <w:ind w:left="2940" w:hanging="420"/>
      </w:pPr>
      <w:rPr>
        <w:rFonts w:ascii="宋体" w:hAnsi="宋体" w:eastAsia="宋体" w:cs="宋体"/>
        <w:position w:val="0"/>
        <w:sz w:val="24"/>
        <w:szCs w:val="24"/>
      </w:rPr>
    </w:lvl>
    <w:lvl w:ilvl="7" w:tentative="0">
      <w:start w:val="1"/>
      <w:numFmt w:val="lowerLetter"/>
      <w:lvlText w:val="%8)"/>
      <w:lvlJc w:val="left"/>
      <w:pPr>
        <w:tabs>
          <w:tab w:val="left" w:pos="3360"/>
        </w:tabs>
        <w:ind w:left="3360" w:hanging="420"/>
      </w:pPr>
      <w:rPr>
        <w:rFonts w:ascii="宋体" w:hAnsi="宋体" w:eastAsia="宋体" w:cs="宋体"/>
        <w:position w:val="0"/>
        <w:sz w:val="24"/>
        <w:szCs w:val="24"/>
      </w:rPr>
    </w:lvl>
    <w:lvl w:ilvl="8" w:tentative="0">
      <w:start w:val="1"/>
      <w:numFmt w:val="lowerRoman"/>
      <w:lvlText w:val="%9."/>
      <w:lvlJc w:val="left"/>
      <w:pPr>
        <w:tabs>
          <w:tab w:val="left" w:pos="3780"/>
        </w:tabs>
        <w:ind w:left="3780" w:hanging="536"/>
      </w:pPr>
      <w:rPr>
        <w:rFonts w:ascii="宋体" w:hAnsi="宋体" w:eastAsia="宋体" w:cs="宋体"/>
        <w:position w:val="0"/>
        <w:sz w:val="24"/>
        <w:szCs w:val="24"/>
      </w:rPr>
    </w:lvl>
  </w:abstractNum>
  <w:abstractNum w:abstractNumId="2">
    <w:nsid w:val="59DF37D2"/>
    <w:multiLevelType w:val="singleLevel"/>
    <w:tmpl w:val="59DF37D2"/>
    <w:lvl w:ilvl="0" w:tentative="0">
      <w:start w:val="3"/>
      <w:numFmt w:val="decimal"/>
      <w:suff w:val="nothing"/>
      <w:lvlText w:val="%1、"/>
      <w:lvlJc w:val="left"/>
    </w:lvl>
  </w:abstractNum>
  <w:abstractNum w:abstractNumId="3">
    <w:nsid w:val="5A7A5E4F"/>
    <w:multiLevelType w:val="singleLevel"/>
    <w:tmpl w:val="5A7A5E4F"/>
    <w:lvl w:ilvl="0" w:tentative="0">
      <w:start w:val="2"/>
      <w:numFmt w:val="chineseCounting"/>
      <w:suff w:val="space"/>
      <w:lvlText w:val="第%1章"/>
      <w:lvlJc w:val="left"/>
      <w:rPr>
        <w:rFonts w:hint="eastAsia"/>
      </w:rPr>
    </w:lvl>
  </w:abstractNum>
  <w:abstractNum w:abstractNumId="4">
    <w:nsid w:val="656F241D"/>
    <w:multiLevelType w:val="multilevel"/>
    <w:tmpl w:val="656F241D"/>
    <w:lvl w:ilvl="0" w:tentative="0">
      <w:start w:val="1"/>
      <w:numFmt w:val="decimal"/>
      <w:pStyle w:val="42"/>
      <w:lvlText w:val="%1"/>
      <w:lvlJc w:val="left"/>
      <w:pPr>
        <w:tabs>
          <w:tab w:val="left" w:pos="425"/>
        </w:tabs>
        <w:ind w:left="425" w:hanging="425"/>
      </w:pPr>
      <w:rPr>
        <w:rFonts w:hint="eastAsia"/>
      </w:rPr>
    </w:lvl>
    <w:lvl w:ilvl="1" w:tentative="0">
      <w:start w:val="1"/>
      <w:numFmt w:val="decimal"/>
      <w:suff w:val="space"/>
      <w:lvlText w:val="%1.%2"/>
      <w:lvlJc w:val="left"/>
      <w:pPr>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suff w:val="space"/>
      <w:lvlText w:val="%1.%2.%4.%3"/>
      <w:lvlJc w:val="left"/>
      <w:pPr>
        <w:ind w:left="851" w:hanging="851"/>
      </w:pPr>
      <w:rPr>
        <w:rFonts w:hint="eastAsia"/>
      </w:rPr>
    </w:lvl>
    <w:lvl w:ilvl="4" w:tentative="0">
      <w:start w:val="1"/>
      <w:numFmt w:val="decimal"/>
      <w:lvlText w:val="%2%3%4%1....%5."/>
      <w:lvlJc w:val="left"/>
      <w:pPr>
        <w:tabs>
          <w:tab w:val="left" w:pos="1080"/>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2160"/>
        </w:tabs>
        <w:ind w:left="1559" w:hanging="1559"/>
      </w:pPr>
      <w:rPr>
        <w:rFonts w:hint="eastAsia"/>
      </w:rPr>
    </w:lvl>
  </w:abstractNum>
  <w:abstractNum w:abstractNumId="5">
    <w:nsid w:val="7AA737DB"/>
    <w:multiLevelType w:val="multilevel"/>
    <w:tmpl w:val="7AA737DB"/>
    <w:lvl w:ilvl="0" w:tentative="0">
      <w:start w:val="1"/>
      <w:numFmt w:val="decimal"/>
      <w:lvlText w:val="%1."/>
      <w:lvlJc w:val="left"/>
      <w:pPr>
        <w:tabs>
          <w:tab w:val="left" w:pos="1264"/>
        </w:tabs>
        <w:ind w:left="1264"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dit="trackedChanges" w:enforcement="1" w:cryptProviderType="rsaFull" w:cryptAlgorithmClass="hash" w:cryptAlgorithmType="typeAny" w:cryptAlgorithmSid="4" w:cryptSpinCount="0" w:hash="mr9prmi0DGclNSrsrlezBHF2zGs=" w:salt="pccUzs8w5B1ktx9fd4rvcg=="/>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xZTJkZDllZTU5NWU2YTk4ODk2MWI1NTg0NDliY2QifQ=="/>
  </w:docVars>
  <w:rsids>
    <w:rsidRoot w:val="00000000"/>
    <w:rsid w:val="00436B95"/>
    <w:rsid w:val="004F5ADF"/>
    <w:rsid w:val="007D66C1"/>
    <w:rsid w:val="00EB5D0F"/>
    <w:rsid w:val="00FC6CF3"/>
    <w:rsid w:val="011A6F3A"/>
    <w:rsid w:val="01934780"/>
    <w:rsid w:val="019E4ED3"/>
    <w:rsid w:val="01A96A78"/>
    <w:rsid w:val="01AA4EAC"/>
    <w:rsid w:val="02226089"/>
    <w:rsid w:val="0224645B"/>
    <w:rsid w:val="025106E1"/>
    <w:rsid w:val="026568C8"/>
    <w:rsid w:val="02AC36BD"/>
    <w:rsid w:val="02F30C6F"/>
    <w:rsid w:val="03092C59"/>
    <w:rsid w:val="03167815"/>
    <w:rsid w:val="037F1417"/>
    <w:rsid w:val="04747907"/>
    <w:rsid w:val="04B058AC"/>
    <w:rsid w:val="04C5691B"/>
    <w:rsid w:val="04D20D55"/>
    <w:rsid w:val="04D93A14"/>
    <w:rsid w:val="05445D91"/>
    <w:rsid w:val="05AC3497"/>
    <w:rsid w:val="05AC7952"/>
    <w:rsid w:val="0638495E"/>
    <w:rsid w:val="068E70B7"/>
    <w:rsid w:val="073258F2"/>
    <w:rsid w:val="07785314"/>
    <w:rsid w:val="078E7C6D"/>
    <w:rsid w:val="080B6A07"/>
    <w:rsid w:val="08285619"/>
    <w:rsid w:val="08297933"/>
    <w:rsid w:val="08FF6BB4"/>
    <w:rsid w:val="093167C6"/>
    <w:rsid w:val="09657487"/>
    <w:rsid w:val="09B278CC"/>
    <w:rsid w:val="09EA22C3"/>
    <w:rsid w:val="0A533F5B"/>
    <w:rsid w:val="0AD8742C"/>
    <w:rsid w:val="0B0B4989"/>
    <w:rsid w:val="0B3678F9"/>
    <w:rsid w:val="0B7817A1"/>
    <w:rsid w:val="0BA109C5"/>
    <w:rsid w:val="0BAC14BF"/>
    <w:rsid w:val="0C2460F9"/>
    <w:rsid w:val="0CB861B8"/>
    <w:rsid w:val="0D120B26"/>
    <w:rsid w:val="0D2D1777"/>
    <w:rsid w:val="0D672AD6"/>
    <w:rsid w:val="0D8415EE"/>
    <w:rsid w:val="0E0743BD"/>
    <w:rsid w:val="0F0C6106"/>
    <w:rsid w:val="0F177452"/>
    <w:rsid w:val="0F3C6341"/>
    <w:rsid w:val="0F4D73DE"/>
    <w:rsid w:val="0F9B4133"/>
    <w:rsid w:val="10193C2D"/>
    <w:rsid w:val="1032537E"/>
    <w:rsid w:val="10601257"/>
    <w:rsid w:val="10A7353F"/>
    <w:rsid w:val="10AD4786"/>
    <w:rsid w:val="110354D3"/>
    <w:rsid w:val="113831D6"/>
    <w:rsid w:val="11C017EF"/>
    <w:rsid w:val="1205527D"/>
    <w:rsid w:val="12411FD6"/>
    <w:rsid w:val="12490E8B"/>
    <w:rsid w:val="12C065EC"/>
    <w:rsid w:val="131D61BD"/>
    <w:rsid w:val="13286C49"/>
    <w:rsid w:val="13C47869"/>
    <w:rsid w:val="14561CD2"/>
    <w:rsid w:val="148166BA"/>
    <w:rsid w:val="14BD5663"/>
    <w:rsid w:val="14DD1348"/>
    <w:rsid w:val="14F27557"/>
    <w:rsid w:val="151614F8"/>
    <w:rsid w:val="156A78CB"/>
    <w:rsid w:val="1646465E"/>
    <w:rsid w:val="169F77B7"/>
    <w:rsid w:val="16AE2CF0"/>
    <w:rsid w:val="17087406"/>
    <w:rsid w:val="17462C4C"/>
    <w:rsid w:val="17A70B2D"/>
    <w:rsid w:val="17A728DB"/>
    <w:rsid w:val="17B9413D"/>
    <w:rsid w:val="17DF4EDE"/>
    <w:rsid w:val="18197376"/>
    <w:rsid w:val="18D8315A"/>
    <w:rsid w:val="18E275A1"/>
    <w:rsid w:val="19095F87"/>
    <w:rsid w:val="190F21C2"/>
    <w:rsid w:val="19121FD6"/>
    <w:rsid w:val="19173A91"/>
    <w:rsid w:val="19451580"/>
    <w:rsid w:val="1988523C"/>
    <w:rsid w:val="19C1549E"/>
    <w:rsid w:val="19C170B2"/>
    <w:rsid w:val="19C36058"/>
    <w:rsid w:val="19E971DB"/>
    <w:rsid w:val="19EE47F1"/>
    <w:rsid w:val="1A4740B1"/>
    <w:rsid w:val="1A565673"/>
    <w:rsid w:val="1AB10F40"/>
    <w:rsid w:val="1B033661"/>
    <w:rsid w:val="1B075E9A"/>
    <w:rsid w:val="1B886580"/>
    <w:rsid w:val="1B904A10"/>
    <w:rsid w:val="1BA00373"/>
    <w:rsid w:val="1BB04D0E"/>
    <w:rsid w:val="1BE3011B"/>
    <w:rsid w:val="1C6E6339"/>
    <w:rsid w:val="1C790A29"/>
    <w:rsid w:val="1DA25EBC"/>
    <w:rsid w:val="1DF446A3"/>
    <w:rsid w:val="1DFF15A5"/>
    <w:rsid w:val="1E392382"/>
    <w:rsid w:val="1E83385A"/>
    <w:rsid w:val="1E915A9C"/>
    <w:rsid w:val="1EB01729"/>
    <w:rsid w:val="1EC41FC5"/>
    <w:rsid w:val="1F1655A7"/>
    <w:rsid w:val="1F344C87"/>
    <w:rsid w:val="1F627368"/>
    <w:rsid w:val="1F632489"/>
    <w:rsid w:val="1F712125"/>
    <w:rsid w:val="1FE50445"/>
    <w:rsid w:val="20454036"/>
    <w:rsid w:val="20F04C05"/>
    <w:rsid w:val="21073CDB"/>
    <w:rsid w:val="220A23E4"/>
    <w:rsid w:val="22525B39"/>
    <w:rsid w:val="225A3AEE"/>
    <w:rsid w:val="22E1461D"/>
    <w:rsid w:val="232E1DB6"/>
    <w:rsid w:val="233B4301"/>
    <w:rsid w:val="234512E7"/>
    <w:rsid w:val="23511669"/>
    <w:rsid w:val="2372102C"/>
    <w:rsid w:val="237B2F8F"/>
    <w:rsid w:val="2387635C"/>
    <w:rsid w:val="23B705F7"/>
    <w:rsid w:val="23E5270A"/>
    <w:rsid w:val="248D35F0"/>
    <w:rsid w:val="24BF1F1A"/>
    <w:rsid w:val="258A1884"/>
    <w:rsid w:val="25E95016"/>
    <w:rsid w:val="261022B1"/>
    <w:rsid w:val="261535DF"/>
    <w:rsid w:val="26414842"/>
    <w:rsid w:val="266B05DA"/>
    <w:rsid w:val="26AD3924"/>
    <w:rsid w:val="27281EA0"/>
    <w:rsid w:val="27CE753E"/>
    <w:rsid w:val="27D35027"/>
    <w:rsid w:val="27FC0589"/>
    <w:rsid w:val="28165A3A"/>
    <w:rsid w:val="28F33BD2"/>
    <w:rsid w:val="28FD6E9D"/>
    <w:rsid w:val="2A0859C8"/>
    <w:rsid w:val="2A3D1CDF"/>
    <w:rsid w:val="2ABF0E3F"/>
    <w:rsid w:val="2ACF41CB"/>
    <w:rsid w:val="2B2106C7"/>
    <w:rsid w:val="2B367DA6"/>
    <w:rsid w:val="2B710CB1"/>
    <w:rsid w:val="2B8C5F28"/>
    <w:rsid w:val="2BD13FEC"/>
    <w:rsid w:val="2BEF5D9A"/>
    <w:rsid w:val="2C025EDA"/>
    <w:rsid w:val="2C23775D"/>
    <w:rsid w:val="2D0D0FDB"/>
    <w:rsid w:val="2D3A16A4"/>
    <w:rsid w:val="2DCE63C1"/>
    <w:rsid w:val="2E3329B8"/>
    <w:rsid w:val="2E782484"/>
    <w:rsid w:val="2E913595"/>
    <w:rsid w:val="2ECC6301"/>
    <w:rsid w:val="2F2D6FD1"/>
    <w:rsid w:val="2F8F4027"/>
    <w:rsid w:val="2FA460AC"/>
    <w:rsid w:val="2FA86D99"/>
    <w:rsid w:val="2FB4275A"/>
    <w:rsid w:val="30CB4551"/>
    <w:rsid w:val="30DC542D"/>
    <w:rsid w:val="30F93D50"/>
    <w:rsid w:val="310E0E7D"/>
    <w:rsid w:val="31364603"/>
    <w:rsid w:val="31412767"/>
    <w:rsid w:val="317811BB"/>
    <w:rsid w:val="31DC302C"/>
    <w:rsid w:val="31E433F2"/>
    <w:rsid w:val="31F85D7A"/>
    <w:rsid w:val="32335031"/>
    <w:rsid w:val="325726D7"/>
    <w:rsid w:val="32A37E25"/>
    <w:rsid w:val="32D978C6"/>
    <w:rsid w:val="32F97840"/>
    <w:rsid w:val="33257AE0"/>
    <w:rsid w:val="33B85ACA"/>
    <w:rsid w:val="33DE7181"/>
    <w:rsid w:val="34054394"/>
    <w:rsid w:val="3471716E"/>
    <w:rsid w:val="347D336E"/>
    <w:rsid w:val="34844B3D"/>
    <w:rsid w:val="34C22957"/>
    <w:rsid w:val="34ED1632"/>
    <w:rsid w:val="35553D35"/>
    <w:rsid w:val="360366E2"/>
    <w:rsid w:val="369B5353"/>
    <w:rsid w:val="36E8237C"/>
    <w:rsid w:val="37262EDB"/>
    <w:rsid w:val="37354178"/>
    <w:rsid w:val="37580252"/>
    <w:rsid w:val="375B1CFB"/>
    <w:rsid w:val="37B80F4E"/>
    <w:rsid w:val="37B83234"/>
    <w:rsid w:val="37E4576F"/>
    <w:rsid w:val="38417D8A"/>
    <w:rsid w:val="384E3CA6"/>
    <w:rsid w:val="38824953"/>
    <w:rsid w:val="388378DB"/>
    <w:rsid w:val="38E1543C"/>
    <w:rsid w:val="390F0F9B"/>
    <w:rsid w:val="396151EA"/>
    <w:rsid w:val="39D5513B"/>
    <w:rsid w:val="3A3A1D0F"/>
    <w:rsid w:val="3A8A5A19"/>
    <w:rsid w:val="3A905C8A"/>
    <w:rsid w:val="3A990A8A"/>
    <w:rsid w:val="3AFF12B6"/>
    <w:rsid w:val="3B832DA4"/>
    <w:rsid w:val="3B8F5B4C"/>
    <w:rsid w:val="3BB2725D"/>
    <w:rsid w:val="3BBF6B54"/>
    <w:rsid w:val="3BF71763"/>
    <w:rsid w:val="3C6E750A"/>
    <w:rsid w:val="3C8608F7"/>
    <w:rsid w:val="3CA55253"/>
    <w:rsid w:val="3D0F431B"/>
    <w:rsid w:val="3D4D5D08"/>
    <w:rsid w:val="3D854CC8"/>
    <w:rsid w:val="3DA4015F"/>
    <w:rsid w:val="3DBB502C"/>
    <w:rsid w:val="3E1B5BA9"/>
    <w:rsid w:val="3E412C62"/>
    <w:rsid w:val="3E671E3F"/>
    <w:rsid w:val="3E7D3071"/>
    <w:rsid w:val="3EC86AF3"/>
    <w:rsid w:val="3F171845"/>
    <w:rsid w:val="3F37192F"/>
    <w:rsid w:val="3FDE5539"/>
    <w:rsid w:val="3FF96159"/>
    <w:rsid w:val="40122116"/>
    <w:rsid w:val="40D36218"/>
    <w:rsid w:val="412B6CAE"/>
    <w:rsid w:val="4170226C"/>
    <w:rsid w:val="41F17A68"/>
    <w:rsid w:val="42736A24"/>
    <w:rsid w:val="42BD78FC"/>
    <w:rsid w:val="42C50FEE"/>
    <w:rsid w:val="43E96161"/>
    <w:rsid w:val="440856C3"/>
    <w:rsid w:val="44A11D44"/>
    <w:rsid w:val="452D2F5A"/>
    <w:rsid w:val="45587B14"/>
    <w:rsid w:val="45814BC5"/>
    <w:rsid w:val="45A43FD1"/>
    <w:rsid w:val="45D67E20"/>
    <w:rsid w:val="464E6941"/>
    <w:rsid w:val="46DF100E"/>
    <w:rsid w:val="46EE2B47"/>
    <w:rsid w:val="46F54B62"/>
    <w:rsid w:val="471E6FD5"/>
    <w:rsid w:val="47DF7F53"/>
    <w:rsid w:val="48515DC8"/>
    <w:rsid w:val="4897437F"/>
    <w:rsid w:val="48C22CB6"/>
    <w:rsid w:val="48D15F43"/>
    <w:rsid w:val="49303C2D"/>
    <w:rsid w:val="49366D1B"/>
    <w:rsid w:val="49847181"/>
    <w:rsid w:val="49F700FD"/>
    <w:rsid w:val="4A0A0924"/>
    <w:rsid w:val="4A1F5FE8"/>
    <w:rsid w:val="4A3D5A9C"/>
    <w:rsid w:val="4B4A3BF6"/>
    <w:rsid w:val="4B6A6BCA"/>
    <w:rsid w:val="4BDD6E3F"/>
    <w:rsid w:val="4C2820B2"/>
    <w:rsid w:val="4C7B5D71"/>
    <w:rsid w:val="4CC157FE"/>
    <w:rsid w:val="4CC401E7"/>
    <w:rsid w:val="4CF46658"/>
    <w:rsid w:val="4D416335"/>
    <w:rsid w:val="4D50637A"/>
    <w:rsid w:val="4D5B636A"/>
    <w:rsid w:val="4E9436E6"/>
    <w:rsid w:val="4EE334F2"/>
    <w:rsid w:val="4EFF130B"/>
    <w:rsid w:val="4F727C37"/>
    <w:rsid w:val="4F8475CE"/>
    <w:rsid w:val="4FA8490D"/>
    <w:rsid w:val="4FF333EA"/>
    <w:rsid w:val="50483F54"/>
    <w:rsid w:val="50672CDB"/>
    <w:rsid w:val="5144471C"/>
    <w:rsid w:val="51644DBE"/>
    <w:rsid w:val="51742DAC"/>
    <w:rsid w:val="51AB57D4"/>
    <w:rsid w:val="52081B59"/>
    <w:rsid w:val="523836F7"/>
    <w:rsid w:val="523F0236"/>
    <w:rsid w:val="52641657"/>
    <w:rsid w:val="52707116"/>
    <w:rsid w:val="53121670"/>
    <w:rsid w:val="531C7B09"/>
    <w:rsid w:val="533E573E"/>
    <w:rsid w:val="534E7AD3"/>
    <w:rsid w:val="53586243"/>
    <w:rsid w:val="53E36D11"/>
    <w:rsid w:val="54104D89"/>
    <w:rsid w:val="54A16F44"/>
    <w:rsid w:val="5527371C"/>
    <w:rsid w:val="56111087"/>
    <w:rsid w:val="56763F44"/>
    <w:rsid w:val="567777D5"/>
    <w:rsid w:val="569962CC"/>
    <w:rsid w:val="56BE68DE"/>
    <w:rsid w:val="56C41DA1"/>
    <w:rsid w:val="57321A9A"/>
    <w:rsid w:val="574F4E69"/>
    <w:rsid w:val="57E76759"/>
    <w:rsid w:val="57F54CF3"/>
    <w:rsid w:val="58190916"/>
    <w:rsid w:val="583E0F32"/>
    <w:rsid w:val="58D164E9"/>
    <w:rsid w:val="592B5972"/>
    <w:rsid w:val="59746F8A"/>
    <w:rsid w:val="59787A0E"/>
    <w:rsid w:val="59DF45EA"/>
    <w:rsid w:val="5A3410A5"/>
    <w:rsid w:val="5A5E4311"/>
    <w:rsid w:val="5A613D26"/>
    <w:rsid w:val="5A7D54EB"/>
    <w:rsid w:val="5A951B44"/>
    <w:rsid w:val="5AA351FB"/>
    <w:rsid w:val="5AD31C4A"/>
    <w:rsid w:val="5AE91088"/>
    <w:rsid w:val="5B9657B7"/>
    <w:rsid w:val="5BC8419B"/>
    <w:rsid w:val="5C7C430D"/>
    <w:rsid w:val="5D0713FE"/>
    <w:rsid w:val="5DAB37EB"/>
    <w:rsid w:val="5DAD3649"/>
    <w:rsid w:val="5DFA7CC3"/>
    <w:rsid w:val="5E3F7449"/>
    <w:rsid w:val="5EAC576B"/>
    <w:rsid w:val="602C2F4B"/>
    <w:rsid w:val="60471B32"/>
    <w:rsid w:val="604A72A4"/>
    <w:rsid w:val="60F77D31"/>
    <w:rsid w:val="618844D6"/>
    <w:rsid w:val="61BD272B"/>
    <w:rsid w:val="61DD0B68"/>
    <w:rsid w:val="63236EDE"/>
    <w:rsid w:val="63CD5D8A"/>
    <w:rsid w:val="63E92C70"/>
    <w:rsid w:val="63F77F73"/>
    <w:rsid w:val="645A30B7"/>
    <w:rsid w:val="65204171"/>
    <w:rsid w:val="657C2B12"/>
    <w:rsid w:val="65B2504A"/>
    <w:rsid w:val="65BA1F1B"/>
    <w:rsid w:val="65E67FDB"/>
    <w:rsid w:val="65EC0A86"/>
    <w:rsid w:val="669A23AC"/>
    <w:rsid w:val="66DA5927"/>
    <w:rsid w:val="67042BD4"/>
    <w:rsid w:val="67065B78"/>
    <w:rsid w:val="67535261"/>
    <w:rsid w:val="67601829"/>
    <w:rsid w:val="68313115"/>
    <w:rsid w:val="68511756"/>
    <w:rsid w:val="69160562"/>
    <w:rsid w:val="69807F38"/>
    <w:rsid w:val="69B579F6"/>
    <w:rsid w:val="6A235B23"/>
    <w:rsid w:val="6A5A12A7"/>
    <w:rsid w:val="6A8B383A"/>
    <w:rsid w:val="6AC15122"/>
    <w:rsid w:val="6B517D4F"/>
    <w:rsid w:val="6B6B5C79"/>
    <w:rsid w:val="6B753DD1"/>
    <w:rsid w:val="6BB3228F"/>
    <w:rsid w:val="6BC005B6"/>
    <w:rsid w:val="6C50274F"/>
    <w:rsid w:val="6C580FE5"/>
    <w:rsid w:val="6C9E573E"/>
    <w:rsid w:val="6CD14697"/>
    <w:rsid w:val="6CDB0AE9"/>
    <w:rsid w:val="6CF04609"/>
    <w:rsid w:val="6D801D9D"/>
    <w:rsid w:val="6D9C0B75"/>
    <w:rsid w:val="6DCA1E8E"/>
    <w:rsid w:val="6EDD6AB2"/>
    <w:rsid w:val="6EE565CA"/>
    <w:rsid w:val="6F0E0E02"/>
    <w:rsid w:val="6F3F36F7"/>
    <w:rsid w:val="6F5656A5"/>
    <w:rsid w:val="6F5953DE"/>
    <w:rsid w:val="6F5F09D1"/>
    <w:rsid w:val="6F691A38"/>
    <w:rsid w:val="6F7400F2"/>
    <w:rsid w:val="6F7C63CD"/>
    <w:rsid w:val="70864320"/>
    <w:rsid w:val="70973DE3"/>
    <w:rsid w:val="70C10E2B"/>
    <w:rsid w:val="70DC5333"/>
    <w:rsid w:val="70F13BDF"/>
    <w:rsid w:val="70F61E34"/>
    <w:rsid w:val="715D0653"/>
    <w:rsid w:val="71A82758"/>
    <w:rsid w:val="721A57F4"/>
    <w:rsid w:val="724B084F"/>
    <w:rsid w:val="725B0E24"/>
    <w:rsid w:val="729F613C"/>
    <w:rsid w:val="72A55954"/>
    <w:rsid w:val="73104006"/>
    <w:rsid w:val="73D66084"/>
    <w:rsid w:val="740C115E"/>
    <w:rsid w:val="742C6788"/>
    <w:rsid w:val="745D5B47"/>
    <w:rsid w:val="74FA4F6E"/>
    <w:rsid w:val="752A0B9B"/>
    <w:rsid w:val="75342699"/>
    <w:rsid w:val="7535244A"/>
    <w:rsid w:val="75951F06"/>
    <w:rsid w:val="7610256F"/>
    <w:rsid w:val="76357519"/>
    <w:rsid w:val="768039DA"/>
    <w:rsid w:val="76BA11BA"/>
    <w:rsid w:val="76BC6539"/>
    <w:rsid w:val="76C534C6"/>
    <w:rsid w:val="770C0FD6"/>
    <w:rsid w:val="770F1081"/>
    <w:rsid w:val="771B5E77"/>
    <w:rsid w:val="777D20D6"/>
    <w:rsid w:val="77BC0B29"/>
    <w:rsid w:val="77D47CF8"/>
    <w:rsid w:val="77DA5DCD"/>
    <w:rsid w:val="782A0C52"/>
    <w:rsid w:val="78376BB9"/>
    <w:rsid w:val="78A21BA4"/>
    <w:rsid w:val="78A70FBF"/>
    <w:rsid w:val="78D522ED"/>
    <w:rsid w:val="7917598C"/>
    <w:rsid w:val="79480184"/>
    <w:rsid w:val="795B2141"/>
    <w:rsid w:val="79B01E61"/>
    <w:rsid w:val="79F857F4"/>
    <w:rsid w:val="79FD68FD"/>
    <w:rsid w:val="7A257A2B"/>
    <w:rsid w:val="7A797175"/>
    <w:rsid w:val="7AAB2A8E"/>
    <w:rsid w:val="7AC533F3"/>
    <w:rsid w:val="7AE7537C"/>
    <w:rsid w:val="7B203524"/>
    <w:rsid w:val="7BB2043A"/>
    <w:rsid w:val="7BC419C1"/>
    <w:rsid w:val="7BCD10DB"/>
    <w:rsid w:val="7BE861B6"/>
    <w:rsid w:val="7BEE4817"/>
    <w:rsid w:val="7C0E57A2"/>
    <w:rsid w:val="7C6834C4"/>
    <w:rsid w:val="7C6B44DD"/>
    <w:rsid w:val="7C7C7CB6"/>
    <w:rsid w:val="7CDC5B66"/>
    <w:rsid w:val="7CFC55FB"/>
    <w:rsid w:val="7D1178E7"/>
    <w:rsid w:val="7D16490F"/>
    <w:rsid w:val="7D260E7E"/>
    <w:rsid w:val="7D364FB1"/>
    <w:rsid w:val="7D42562F"/>
    <w:rsid w:val="7D4357F4"/>
    <w:rsid w:val="7D5714E3"/>
    <w:rsid w:val="7D667F1E"/>
    <w:rsid w:val="7D862CB2"/>
    <w:rsid w:val="7DA5239B"/>
    <w:rsid w:val="7DC749D1"/>
    <w:rsid w:val="7DD069D7"/>
    <w:rsid w:val="7DEC1126"/>
    <w:rsid w:val="7E4159BB"/>
    <w:rsid w:val="7E5D031B"/>
    <w:rsid w:val="7E663674"/>
    <w:rsid w:val="7ECB7FDF"/>
    <w:rsid w:val="7EEF450A"/>
    <w:rsid w:val="7F2A4266"/>
    <w:rsid w:val="7F5D5585"/>
    <w:rsid w:val="7F66790F"/>
    <w:rsid w:val="7F89586C"/>
    <w:rsid w:val="7FA75CF2"/>
    <w:rsid w:val="7FD60385"/>
    <w:rsid w:val="7FDD5BB8"/>
    <w:rsid w:val="7FEA60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spacing w:before="16"/>
      <w:ind w:left="685"/>
      <w:jc w:val="center"/>
      <w:outlineLvl w:val="1"/>
    </w:pPr>
    <w:rPr>
      <w:rFonts w:ascii="宋体" w:hAnsi="宋体" w:eastAsia="宋体" w:cs="宋体"/>
      <w:b/>
      <w:bCs/>
      <w:sz w:val="40"/>
      <w:szCs w:val="40"/>
      <w:lang w:val="zh-CN" w:eastAsia="zh-CN" w:bidi="zh-CN"/>
    </w:rPr>
  </w:style>
  <w:style w:type="paragraph" w:styleId="3">
    <w:name w:val="heading 2"/>
    <w:basedOn w:val="1"/>
    <w:next w:val="1"/>
    <w:qFormat/>
    <w:uiPriority w:val="1"/>
    <w:pPr>
      <w:spacing w:before="35"/>
      <w:ind w:left="1142"/>
      <w:outlineLvl w:val="2"/>
    </w:pPr>
    <w:rPr>
      <w:rFonts w:ascii="宋体" w:hAnsi="宋体" w:eastAsia="宋体" w:cs="宋体"/>
      <w:b/>
      <w:bCs/>
      <w:sz w:val="28"/>
      <w:szCs w:val="28"/>
      <w:lang w:val="zh-CN" w:eastAsia="zh-CN" w:bidi="zh-CN"/>
    </w:rPr>
  </w:style>
  <w:style w:type="paragraph" w:styleId="4">
    <w:name w:val="heading 3"/>
    <w:basedOn w:val="1"/>
    <w:next w:val="1"/>
    <w:qFormat/>
    <w:uiPriority w:val="1"/>
    <w:pPr>
      <w:ind w:left="680"/>
      <w:jc w:val="center"/>
      <w:outlineLvl w:val="3"/>
    </w:pPr>
    <w:rPr>
      <w:rFonts w:ascii="宋体" w:hAnsi="宋体" w:eastAsia="宋体" w:cs="宋体"/>
      <w:sz w:val="28"/>
      <w:szCs w:val="28"/>
      <w:lang w:val="zh-CN" w:eastAsia="zh-CN" w:bidi="zh-CN"/>
    </w:rPr>
  </w:style>
  <w:style w:type="paragraph" w:styleId="5">
    <w:name w:val="heading 4"/>
    <w:basedOn w:val="1"/>
    <w:next w:val="1"/>
    <w:qFormat/>
    <w:uiPriority w:val="1"/>
    <w:pPr>
      <w:ind w:left="218"/>
      <w:outlineLvl w:val="4"/>
    </w:pPr>
    <w:rPr>
      <w:rFonts w:ascii="宋体" w:hAnsi="宋体" w:eastAsia="宋体" w:cs="宋体"/>
      <w:b/>
      <w:bCs/>
      <w:sz w:val="21"/>
      <w:szCs w:val="21"/>
      <w:lang w:val="zh-CN" w:eastAsia="zh-CN" w:bidi="zh-CN"/>
    </w:rPr>
  </w:style>
  <w:style w:type="character" w:default="1" w:styleId="28">
    <w:name w:val="Default Paragraph Font"/>
    <w:unhideWhenUsed/>
    <w:qFormat/>
    <w:uiPriority w:val="1"/>
  </w:style>
  <w:style w:type="table" w:default="1" w:styleId="26">
    <w:name w:val="Normal Table"/>
    <w:semiHidden/>
    <w:qFormat/>
    <w:uiPriority w:val="0"/>
    <w:tblPr>
      <w:tblCellMar>
        <w:top w:w="0" w:type="dxa"/>
        <w:left w:w="108" w:type="dxa"/>
        <w:bottom w:w="0" w:type="dxa"/>
        <w:right w:w="108" w:type="dxa"/>
      </w:tblCellMar>
    </w:tblPr>
  </w:style>
  <w:style w:type="paragraph" w:styleId="6">
    <w:name w:val="caption"/>
    <w:basedOn w:val="1"/>
    <w:next w:val="1"/>
    <w:unhideWhenUsed/>
    <w:qFormat/>
    <w:uiPriority w:val="0"/>
    <w:pPr>
      <w:spacing w:before="152" w:after="160"/>
    </w:pPr>
    <w:rPr>
      <w:rFonts w:ascii="Arial" w:hAnsi="Arial" w:eastAsia="黑体"/>
      <w:sz w:val="32"/>
      <w:szCs w:val="30"/>
    </w:rPr>
  </w:style>
  <w:style w:type="paragraph" w:styleId="7">
    <w:name w:val="annotation text"/>
    <w:basedOn w:val="1"/>
    <w:qFormat/>
    <w:uiPriority w:val="0"/>
    <w:pPr>
      <w:jc w:val="left"/>
    </w:pPr>
  </w:style>
  <w:style w:type="paragraph" w:styleId="8">
    <w:name w:val="Body Text"/>
    <w:basedOn w:val="1"/>
    <w:next w:val="9"/>
    <w:qFormat/>
    <w:uiPriority w:val="1"/>
    <w:rPr>
      <w:rFonts w:ascii="宋体" w:hAnsi="宋体" w:eastAsia="宋体" w:cs="宋体"/>
      <w:sz w:val="24"/>
      <w:szCs w:val="24"/>
      <w:lang w:val="zh-CN" w:eastAsia="zh-CN" w:bidi="zh-CN"/>
    </w:rPr>
  </w:style>
  <w:style w:type="paragraph" w:styleId="9">
    <w:name w:val="Body Text 2"/>
    <w:basedOn w:val="1"/>
    <w:next w:val="8"/>
    <w:qFormat/>
    <w:uiPriority w:val="99"/>
    <w:pPr>
      <w:autoSpaceDE w:val="0"/>
      <w:autoSpaceDN w:val="0"/>
      <w:adjustRightInd w:val="0"/>
      <w:spacing w:line="480" w:lineRule="exact"/>
      <w:jc w:val="left"/>
    </w:pPr>
    <w:rPr>
      <w:rFonts w:ascii="宋体" w:hAnsi="宋体"/>
      <w:color w:val="000000"/>
      <w:kern w:val="0"/>
      <w:sz w:val="24"/>
    </w:rPr>
  </w:style>
  <w:style w:type="paragraph" w:styleId="10">
    <w:name w:val="Body Text Indent"/>
    <w:basedOn w:val="1"/>
    <w:next w:val="11"/>
    <w:qFormat/>
    <w:uiPriority w:val="0"/>
    <w:pPr>
      <w:spacing w:after="120"/>
      <w:ind w:left="420" w:leftChars="200"/>
    </w:pPr>
  </w:style>
  <w:style w:type="paragraph" w:styleId="11">
    <w:name w:val="envelope return"/>
    <w:basedOn w:val="1"/>
    <w:qFormat/>
    <w:uiPriority w:val="0"/>
    <w:pPr>
      <w:snapToGrid w:val="0"/>
    </w:pPr>
    <w:rPr>
      <w:rFonts w:ascii="Arial" w:hAnsi="Arial"/>
    </w:rPr>
  </w:style>
  <w:style w:type="paragraph" w:styleId="12">
    <w:name w:val="List 2"/>
    <w:basedOn w:val="1"/>
    <w:qFormat/>
    <w:uiPriority w:val="0"/>
    <w:pPr>
      <w:spacing w:before="100" w:beforeLines="0" w:beforeAutospacing="1" w:after="100" w:afterLines="0" w:afterAutospacing="1" w:line="360" w:lineRule="auto"/>
      <w:ind w:left="100" w:leftChars="200" w:hanging="200" w:hangingChars="200"/>
      <w:contextualSpacing/>
    </w:pPr>
    <w:rPr>
      <w:rFonts w:ascii="Times New Roman" w:hAnsi="Times New Roman" w:eastAsia="宋体" w:cs="Times New Roman"/>
      <w:sz w:val="24"/>
    </w:rPr>
  </w:style>
  <w:style w:type="paragraph" w:styleId="13">
    <w:name w:val="toc 3"/>
    <w:basedOn w:val="1"/>
    <w:next w:val="1"/>
    <w:qFormat/>
    <w:uiPriority w:val="0"/>
    <w:pPr>
      <w:ind w:left="840" w:leftChars="400"/>
    </w:pPr>
  </w:style>
  <w:style w:type="paragraph" w:styleId="14">
    <w:name w:val="Plain Text"/>
    <w:basedOn w:val="1"/>
    <w:qFormat/>
    <w:uiPriority w:val="99"/>
    <w:rPr>
      <w:rFonts w:ascii="宋体" w:hAnsi="Courier New"/>
      <w:szCs w:val="20"/>
    </w:rPr>
  </w:style>
  <w:style w:type="paragraph" w:styleId="15">
    <w:name w:val="Body Text Indent 2"/>
    <w:basedOn w:val="1"/>
    <w:unhideWhenUsed/>
    <w:qFormat/>
    <w:uiPriority w:val="99"/>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qFormat/>
    <w:uiPriority w:val="1"/>
    <w:pPr>
      <w:spacing w:before="97"/>
      <w:ind w:left="1280"/>
    </w:pPr>
    <w:rPr>
      <w:rFonts w:ascii="宋体" w:hAnsi="宋体" w:eastAsia="宋体" w:cs="宋体"/>
      <w:sz w:val="22"/>
      <w:szCs w:val="22"/>
      <w:lang w:val="zh-CN" w:eastAsia="zh-CN" w:bidi="zh-CN"/>
    </w:rPr>
  </w:style>
  <w:style w:type="paragraph" w:styleId="19">
    <w:name w:val="Subtitle"/>
    <w:basedOn w:val="1"/>
    <w:next w:val="1"/>
    <w:qFormat/>
    <w:uiPriority w:val="11"/>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20">
    <w:name w:val="footnote text"/>
    <w:basedOn w:val="1"/>
    <w:qFormat/>
    <w:uiPriority w:val="0"/>
    <w:pPr>
      <w:snapToGrid w:val="0"/>
      <w:jc w:val="left"/>
    </w:pPr>
    <w:rPr>
      <w:sz w:val="18"/>
    </w:rPr>
  </w:style>
  <w:style w:type="paragraph" w:styleId="21">
    <w:name w:val="toc 2"/>
    <w:basedOn w:val="1"/>
    <w:next w:val="1"/>
    <w:qFormat/>
    <w:uiPriority w:val="1"/>
    <w:pPr>
      <w:spacing w:before="97"/>
      <w:ind w:left="1352"/>
    </w:pPr>
    <w:rPr>
      <w:rFonts w:ascii="宋体" w:hAnsi="宋体" w:eastAsia="宋体" w:cs="宋体"/>
      <w:sz w:val="22"/>
      <w:szCs w:val="22"/>
      <w:lang w:val="zh-CN" w:eastAsia="zh-CN" w:bidi="zh-CN"/>
    </w:rPr>
  </w:style>
  <w:style w:type="paragraph" w:styleId="2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qFormat/>
    <w:uiPriority w:val="0"/>
    <w:pPr>
      <w:spacing w:before="240" w:after="60"/>
      <w:jc w:val="center"/>
      <w:outlineLvl w:val="0"/>
    </w:pPr>
    <w:rPr>
      <w:rFonts w:ascii="Cambria" w:hAnsi="Cambria" w:eastAsiaTheme="minorEastAsia" w:cstheme="minorBidi"/>
      <w:b/>
      <w:bCs/>
      <w:sz w:val="32"/>
      <w:szCs w:val="32"/>
    </w:rPr>
  </w:style>
  <w:style w:type="paragraph" w:styleId="24">
    <w:name w:val="Body Text First Indent"/>
    <w:basedOn w:val="8"/>
    <w:next w:val="25"/>
    <w:qFormat/>
    <w:uiPriority w:val="0"/>
    <w:pPr>
      <w:spacing w:line="360" w:lineRule="auto"/>
      <w:ind w:firstLine="420" w:firstLineChars="100"/>
    </w:pPr>
    <w:rPr>
      <w:szCs w:val="21"/>
    </w:rPr>
  </w:style>
  <w:style w:type="paragraph" w:styleId="25">
    <w:name w:val="Body Text First Indent 2"/>
    <w:basedOn w:val="10"/>
    <w:next w:val="1"/>
    <w:qFormat/>
    <w:uiPriority w:val="0"/>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style>
  <w:style w:type="character" w:styleId="30">
    <w:name w:val="FollowedHyperlink"/>
    <w:basedOn w:val="28"/>
    <w:qFormat/>
    <w:uiPriority w:val="0"/>
    <w:rPr>
      <w:color w:val="800080"/>
      <w:u w:val="none"/>
    </w:rPr>
  </w:style>
  <w:style w:type="character" w:styleId="31">
    <w:name w:val="Emphasis"/>
    <w:basedOn w:val="28"/>
    <w:qFormat/>
    <w:uiPriority w:val="0"/>
  </w:style>
  <w:style w:type="character" w:styleId="32">
    <w:name w:val="HTML Definition"/>
    <w:basedOn w:val="28"/>
    <w:qFormat/>
    <w:uiPriority w:val="0"/>
  </w:style>
  <w:style w:type="character" w:styleId="33">
    <w:name w:val="HTML Typewriter"/>
    <w:basedOn w:val="28"/>
    <w:qFormat/>
    <w:uiPriority w:val="0"/>
    <w:rPr>
      <w:rFonts w:ascii="monospace" w:hAnsi="monospace" w:eastAsia="monospace" w:cs="monospace"/>
      <w:sz w:val="20"/>
    </w:rPr>
  </w:style>
  <w:style w:type="character" w:styleId="34">
    <w:name w:val="HTML Acronym"/>
    <w:basedOn w:val="28"/>
    <w:qFormat/>
    <w:uiPriority w:val="0"/>
  </w:style>
  <w:style w:type="character" w:styleId="35">
    <w:name w:val="HTML Variable"/>
    <w:basedOn w:val="28"/>
    <w:qFormat/>
    <w:uiPriority w:val="0"/>
  </w:style>
  <w:style w:type="character" w:styleId="36">
    <w:name w:val="Hyperlink"/>
    <w:basedOn w:val="28"/>
    <w:qFormat/>
    <w:uiPriority w:val="0"/>
    <w:rPr>
      <w:color w:val="0000FF"/>
      <w:u w:val="none"/>
    </w:rPr>
  </w:style>
  <w:style w:type="character" w:styleId="37">
    <w:name w:val="HTML Code"/>
    <w:basedOn w:val="28"/>
    <w:qFormat/>
    <w:uiPriority w:val="0"/>
    <w:rPr>
      <w:rFonts w:hint="default" w:ascii="monospace" w:hAnsi="monospace" w:eastAsia="monospace" w:cs="monospace"/>
      <w:sz w:val="20"/>
    </w:rPr>
  </w:style>
  <w:style w:type="character" w:styleId="38">
    <w:name w:val="HTML Cite"/>
    <w:basedOn w:val="28"/>
    <w:qFormat/>
    <w:uiPriority w:val="0"/>
  </w:style>
  <w:style w:type="character" w:styleId="39">
    <w:name w:val="footnote reference"/>
    <w:basedOn w:val="28"/>
    <w:qFormat/>
    <w:uiPriority w:val="0"/>
    <w:rPr>
      <w:vertAlign w:val="superscript"/>
    </w:rPr>
  </w:style>
  <w:style w:type="character" w:styleId="40">
    <w:name w:val="HTML Keyboard"/>
    <w:basedOn w:val="28"/>
    <w:qFormat/>
    <w:uiPriority w:val="0"/>
    <w:rPr>
      <w:rFonts w:hint="default" w:ascii="monospace" w:hAnsi="monospace" w:eastAsia="monospace" w:cs="monospace"/>
      <w:sz w:val="20"/>
    </w:rPr>
  </w:style>
  <w:style w:type="character" w:styleId="41">
    <w:name w:val="HTML Sample"/>
    <w:basedOn w:val="28"/>
    <w:qFormat/>
    <w:uiPriority w:val="0"/>
    <w:rPr>
      <w:rFonts w:hint="default" w:ascii="monospace" w:hAnsi="monospace" w:eastAsia="monospace" w:cs="monospace"/>
    </w:rPr>
  </w:style>
  <w:style w:type="paragraph" w:customStyle="1" w:styleId="42">
    <w:name w:val="样式1"/>
    <w:basedOn w:val="1"/>
    <w:next w:val="1"/>
    <w:qFormat/>
    <w:uiPriority w:val="0"/>
    <w:pPr>
      <w:numPr>
        <w:ilvl w:val="0"/>
        <w:numId w:val="1"/>
      </w:numPr>
      <w:spacing w:after="60" w:afterLines="0"/>
      <w:jc w:val="left"/>
      <w:outlineLvl w:val="0"/>
    </w:pPr>
    <w:rPr>
      <w:rFonts w:eastAsia="黑体" w:cs="Arial"/>
      <w:bCs/>
      <w:szCs w:val="32"/>
    </w:rPr>
  </w:style>
  <w:style w:type="paragraph" w:customStyle="1" w:styleId="43">
    <w:name w:val="Plain Text1"/>
    <w:basedOn w:val="1"/>
    <w:qFormat/>
    <w:uiPriority w:val="0"/>
    <w:rPr>
      <w:rFonts w:ascii="宋体" w:hAnsi="Courier New" w:cs="Courier New"/>
      <w:szCs w:val="21"/>
    </w:rPr>
  </w:style>
  <w:style w:type="table" w:customStyle="1" w:styleId="44">
    <w:name w:val="Table Normal"/>
    <w:semiHidden/>
    <w:unhideWhenUsed/>
    <w:qFormat/>
    <w:uiPriority w:val="2"/>
    <w:tblPr>
      <w:tblCellMar>
        <w:top w:w="0" w:type="dxa"/>
        <w:left w:w="0" w:type="dxa"/>
        <w:bottom w:w="0" w:type="dxa"/>
        <w:right w:w="0" w:type="dxa"/>
      </w:tblCellMar>
    </w:tblPr>
  </w:style>
  <w:style w:type="paragraph" w:styleId="45">
    <w:name w:val="List Paragraph"/>
    <w:basedOn w:val="1"/>
    <w:qFormat/>
    <w:uiPriority w:val="1"/>
    <w:pPr>
      <w:spacing w:before="160"/>
      <w:ind w:left="1134" w:firstLine="480"/>
    </w:pPr>
    <w:rPr>
      <w:rFonts w:ascii="宋体" w:hAnsi="宋体" w:eastAsia="宋体" w:cs="宋体"/>
      <w:lang w:val="zh-CN" w:eastAsia="zh-CN" w:bidi="zh-CN"/>
    </w:rPr>
  </w:style>
  <w:style w:type="paragraph" w:customStyle="1" w:styleId="46">
    <w:name w:val="Table Paragraph"/>
    <w:basedOn w:val="1"/>
    <w:qFormat/>
    <w:uiPriority w:val="1"/>
    <w:rPr>
      <w:rFonts w:ascii="宋体" w:hAnsi="宋体" w:eastAsia="宋体" w:cs="宋体"/>
      <w:lang w:val="zh-CN" w:eastAsia="zh-CN" w:bidi="zh-CN"/>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paragraph" w:customStyle="1" w:styleId="48">
    <w:name w:val="WPSOffice手动目录 2"/>
    <w:qFormat/>
    <w:uiPriority w:val="0"/>
    <w:pPr>
      <w:ind w:leftChars="200"/>
    </w:pPr>
    <w:rPr>
      <w:rFonts w:ascii="Times New Roman" w:hAnsi="Times New Roman" w:eastAsia="宋体" w:cs="Times New Roman"/>
      <w:sz w:val="20"/>
      <w:szCs w:val="20"/>
    </w:rPr>
  </w:style>
  <w:style w:type="paragraph" w:customStyle="1" w:styleId="49">
    <w:name w:val="WPSOffice手动目录 3"/>
    <w:qFormat/>
    <w:uiPriority w:val="0"/>
    <w:pPr>
      <w:ind w:leftChars="400"/>
    </w:pPr>
    <w:rPr>
      <w:rFonts w:ascii="Times New Roman" w:hAnsi="Times New Roman" w:eastAsia="宋体" w:cs="Times New Roman"/>
      <w:sz w:val="20"/>
      <w:szCs w:val="20"/>
    </w:rPr>
  </w:style>
  <w:style w:type="paragraph" w:customStyle="1" w:styleId="50">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1">
    <w:name w:val="无间隔1"/>
    <w:basedOn w:val="52"/>
    <w:qFormat/>
    <w:uiPriority w:val="0"/>
    <w:pPr>
      <w:spacing w:line="400" w:lineRule="exact"/>
    </w:pPr>
    <w:rPr>
      <w:sz w:val="24"/>
    </w:rPr>
  </w:style>
  <w:style w:type="paragraph" w:customStyle="1" w:styleId="52">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53">
    <w:name w:val="样式 标题 3 + (中文) 黑体 小四 非加粗 段前: 7.8 磅 段后: 0 磅 行距: 固定值 20 磅"/>
    <w:basedOn w:val="4"/>
    <w:qFormat/>
    <w:uiPriority w:val="0"/>
    <w:pPr>
      <w:numPr>
        <w:ilvl w:val="2"/>
        <w:numId w:val="0"/>
      </w:numPr>
      <w:spacing w:before="0" w:after="0" w:line="400" w:lineRule="exact"/>
    </w:pPr>
    <w:rPr>
      <w:rFonts w:eastAsia="黑体" w:cs="宋体"/>
      <w:sz w:val="24"/>
      <w:szCs w:val="20"/>
    </w:rPr>
  </w:style>
  <w:style w:type="paragraph" w:customStyle="1" w:styleId="54">
    <w:name w:val="正文1"/>
    <w:basedOn w:val="1"/>
    <w:qFormat/>
    <w:uiPriority w:val="0"/>
    <w:pPr>
      <w:widowControl/>
    </w:pPr>
    <w:rPr>
      <w:rFonts w:eastAsia="Times New Roman"/>
      <w:kern w:val="0"/>
      <w:szCs w:val="20"/>
      <w:lang w:val="zh-CN"/>
    </w:rPr>
  </w:style>
  <w:style w:type="paragraph" w:customStyle="1" w:styleId="55">
    <w:name w:val="样式 标题 2 + Times New Roman 四号 非加粗 段前: 5 磅 段后: 0 磅 行距: 固定值 20..."/>
    <w:basedOn w:val="3"/>
    <w:qFormat/>
    <w:uiPriority w:val="0"/>
    <w:pPr>
      <w:numPr>
        <w:ilvl w:val="1"/>
        <w:numId w:val="0"/>
      </w:numPr>
      <w:spacing w:before="100" w:after="0" w:line="400" w:lineRule="exact"/>
    </w:pPr>
    <w:rPr>
      <w:rFonts w:ascii="Times New Roman" w:hAnsi="Times New Roman" w:cs="宋体"/>
      <w:b w:val="0"/>
      <w:bCs w:val="0"/>
      <w:sz w:val="28"/>
      <w:szCs w:val="20"/>
    </w:rPr>
  </w:style>
  <w:style w:type="paragraph" w:customStyle="1" w:styleId="56">
    <w:name w:val="正文 New New New New New"/>
    <w:qFormat/>
    <w:uiPriority w:val="0"/>
    <w:pPr>
      <w:widowControl w:val="0"/>
      <w:jc w:val="both"/>
    </w:pPr>
    <w:rPr>
      <w:rFonts w:ascii="Calibri" w:hAnsi="Calibri" w:eastAsia="微软雅黑" w:cs="Times New Roman"/>
      <w:kern w:val="2"/>
      <w:sz w:val="21"/>
      <w:szCs w:val="24"/>
      <w:lang w:val="en-US" w:eastAsia="zh-CN" w:bidi="ar-SA"/>
    </w:rPr>
  </w:style>
  <w:style w:type="paragraph" w:customStyle="1" w:styleId="57">
    <w:name w:val="正文 New New New New New New"/>
    <w:qFormat/>
    <w:uiPriority w:val="0"/>
    <w:pPr>
      <w:widowControl w:val="0"/>
      <w:jc w:val="both"/>
    </w:pPr>
    <w:rPr>
      <w:rFonts w:ascii="Calibri" w:hAnsi="Calibri" w:eastAsia="微软雅黑" w:cs="Times New Roman"/>
      <w:kern w:val="2"/>
      <w:sz w:val="21"/>
      <w:szCs w:val="24"/>
      <w:lang w:val="en-US" w:eastAsia="zh-CN" w:bidi="ar-SA"/>
    </w:rPr>
  </w:style>
  <w:style w:type="paragraph" w:customStyle="1" w:styleId="58">
    <w:name w:val="Body text|1"/>
    <w:basedOn w:val="1"/>
    <w:qFormat/>
    <w:uiPriority w:val="0"/>
    <w:pPr>
      <w:spacing w:line="434" w:lineRule="auto"/>
      <w:ind w:firstLine="400"/>
    </w:pPr>
    <w:rPr>
      <w:rFonts w:ascii="宋体" w:hAnsi="宋体" w:eastAsia="宋体" w:cs="宋体"/>
      <w:color w:val="314156"/>
      <w:sz w:val="22"/>
      <w:szCs w:val="22"/>
      <w:lang w:val="zh-TW" w:eastAsia="zh-TW" w:bidi="zh-TW"/>
    </w:rPr>
  </w:style>
  <w:style w:type="paragraph" w:customStyle="1" w:styleId="59">
    <w:name w:val="表格文字"/>
    <w:basedOn w:val="1"/>
    <w:next w:val="8"/>
    <w:qFormat/>
    <w:uiPriority w:val="0"/>
    <w:pPr>
      <w:adjustRightInd w:val="0"/>
      <w:spacing w:line="420" w:lineRule="atLeast"/>
      <w:jc w:val="left"/>
      <w:textAlignment w:val="baseline"/>
    </w:pPr>
    <w:rPr>
      <w:kern w:val="0"/>
      <w:szCs w:val="20"/>
    </w:rPr>
  </w:style>
  <w:style w:type="paragraph" w:customStyle="1" w:styleId="60">
    <w:name w:val="样式 样式 行距: 1.5 倍行距 + 首行缩进:  2 字符"/>
    <w:next w:val="8"/>
    <w:qFormat/>
    <w:uiPriority w:val="0"/>
    <w:pPr>
      <w:widowControl w:val="0"/>
      <w:spacing w:line="360" w:lineRule="auto"/>
      <w:ind w:firstLine="200" w:firstLineChars="200"/>
      <w:jc w:val="both"/>
    </w:pPr>
    <w:rPr>
      <w:rFonts w:ascii="Times New Roman" w:hAnsi="Times New Roman" w:eastAsia="宋体" w:cs="宋体"/>
      <w:kern w:val="2"/>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25625</Words>
  <Characters>27824</Characters>
  <TotalTime>20</TotalTime>
  <ScaleCrop>false</ScaleCrop>
  <LinksUpToDate>false</LinksUpToDate>
  <CharactersWithSpaces>29617</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2022-03-21T03:55:00Z</dcterms:created>
  <dc:creator>微软用户</dc:creator>
  <cp:lastModifiedBy>HCZX</cp:lastModifiedBy>
  <cp:lastPrinted>2023-11-29T07:03:00Z</cp:lastPrinted>
  <dcterms:modified xsi:type="dcterms:W3CDTF">2023-11-30T05:57:39Z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2022-03-11T00:00:00Z</vt:filetime>
  </property>
  <property fmtid="{D5CDD505-2E9C-101B-9397-08002B2CF9AE}" pid="3" name="Creator">
    <vt:lpwstr>WPS 文字</vt:lpwstr>
  </property>
  <property fmtid="{D5CDD505-2E9C-101B-9397-08002B2CF9AE}" pid="4" name="LastSaved">
    <vt:filetime>2022-03-21T00:00:00Z</vt:filetime>
  </property>
  <property fmtid="{D5CDD505-2E9C-101B-9397-08002B2CF9AE}" pid="5" name="KSOProductBuildVer">
    <vt:lpwstr>2052-12.1.0.15712</vt:lpwstr>
  </property>
  <property fmtid="{D5CDD505-2E9C-101B-9397-08002B2CF9AE}" pid="6" name="ICV">
    <vt:lpwstr>C8E36D37768C4F02970D7EC24A8C3B05_13</vt:lpwstr>
  </property>
</Properties>
</file>